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F1228" w14:textId="77777777" w:rsidR="006F1CFE" w:rsidRDefault="00C62C3C">
      <w:pPr>
        <w:spacing w:after="157" w:line="270" w:lineRule="auto"/>
        <w:jc w:val="center"/>
      </w:pPr>
      <w:bookmarkStart w:id="0" w:name="ağri_i̇brahi̇m_çeçen_üni̇versi̇te_3d1b1c"/>
      <w:r>
        <w:rPr>
          <w:rFonts w:eastAsia="Times New Roman" w:hAnsi="Times New Roman" w:cs="Times New Roman"/>
          <w:b/>
          <w:color w:val="000000"/>
        </w:rPr>
        <w:t>AĞRI İBRAHİM ÇEÇEN ÜNİVERSİTESİ FİKRİ VE SINAİ MÜLKİYET HAKLARI YÖNERGESİ</w:t>
      </w:r>
      <w:bookmarkEnd w:id="0"/>
    </w:p>
    <w:p w14:paraId="5E387C72" w14:textId="77777777" w:rsidR="006F1CFE" w:rsidRDefault="00C62C3C">
      <w:pPr>
        <w:spacing w:after="105" w:line="360" w:lineRule="auto"/>
        <w:jc w:val="center"/>
      </w:pPr>
      <w:bookmarkStart w:id="1" w:name="bi̇ri̇nci̇_bölüm"/>
      <w:r>
        <w:rPr>
          <w:rFonts w:eastAsia="Times New Roman" w:hAnsi="Times New Roman" w:cs="Times New Roman"/>
          <w:b/>
          <w:color w:val="000000"/>
        </w:rPr>
        <w:t>BİRİNCİ BÖLÜM</w:t>
      </w:r>
      <w:bookmarkEnd w:id="1"/>
    </w:p>
    <w:p w14:paraId="380AFB41" w14:textId="77777777" w:rsidR="006F1CFE" w:rsidRDefault="00C62C3C">
      <w:pPr>
        <w:spacing w:after="105" w:line="360" w:lineRule="auto"/>
        <w:jc w:val="center"/>
      </w:pPr>
      <w:bookmarkStart w:id="2" w:name="amaç_kapsam_dayanak_ve_tanımlar"/>
      <w:r>
        <w:rPr>
          <w:rFonts w:eastAsia="Times New Roman" w:hAnsi="Times New Roman" w:cs="Times New Roman"/>
          <w:b/>
          <w:color w:val="000000"/>
        </w:rPr>
        <w:t>Amaç, Kapsam, Dayanak ve Tanımlar</w:t>
      </w:r>
      <w:bookmarkEnd w:id="2"/>
    </w:p>
    <w:p w14:paraId="1855BE4A" w14:textId="77777777" w:rsidR="006F1CFE" w:rsidRDefault="00C62C3C">
      <w:pPr>
        <w:spacing w:after="105" w:line="360" w:lineRule="auto"/>
        <w:jc w:val="center"/>
      </w:pPr>
      <w:bookmarkStart w:id="3" w:name="amaç"/>
      <w:r>
        <w:rPr>
          <w:rFonts w:eastAsia="Times New Roman" w:hAnsi="Times New Roman" w:cs="Times New Roman"/>
          <w:b/>
          <w:color w:val="000000"/>
        </w:rPr>
        <w:t>Amaç</w:t>
      </w:r>
      <w:bookmarkEnd w:id="3"/>
    </w:p>
    <w:p w14:paraId="2C71CFE9" w14:textId="3C673651" w:rsidR="006F1CFE" w:rsidRDefault="00C62C3C">
      <w:pPr>
        <w:spacing w:after="0" w:line="360" w:lineRule="auto"/>
        <w:ind w:firstLine="709"/>
        <w:jc w:val="both"/>
      </w:pPr>
      <w:r>
        <w:rPr>
          <w:rFonts w:eastAsia="Times New Roman" w:hAnsi="Times New Roman" w:cs="Times New Roman"/>
          <w:b/>
          <w:color w:val="000000"/>
        </w:rPr>
        <w:t>Madde 1</w:t>
      </w:r>
      <w:r>
        <w:rPr>
          <w:rFonts w:eastAsia="Times New Roman" w:hAnsi="Times New Roman" w:cs="Times New Roman"/>
          <w:color w:val="000000"/>
        </w:rPr>
        <w:t xml:space="preserve"> – (1) Bu Yönergenin amacı; Ağrı İbrahim Çeçen Üniversitesinde yürütülen bilimsel çalışma, araştırma, geliştirme, tasarım, yenilik, proje ve benzeri faaliyetler sonucunda ortaya çıkan fikri ve sınai mülkiyete konu ürünlerin korunması, hak sahipliğinin belirlenmesi, bildirim, değerlendirme, başvuru, tescil, gizlilik, ticarileştirme, lisanslama, devir ve gelir paylaşımına ilişkin usul ve esasları düzenlemektir. </w:t>
      </w:r>
    </w:p>
    <w:p w14:paraId="2541EBDF" w14:textId="5E9B9C89" w:rsidR="006F1CFE" w:rsidRDefault="00C62C3C">
      <w:pPr>
        <w:spacing w:after="0" w:line="360" w:lineRule="auto"/>
        <w:ind w:firstLine="709"/>
        <w:jc w:val="both"/>
      </w:pPr>
      <w:r>
        <w:rPr>
          <w:rFonts w:eastAsia="Times New Roman" w:hAnsi="Times New Roman" w:cs="Times New Roman"/>
          <w:color w:val="000000"/>
        </w:rPr>
        <w:t xml:space="preserve">(2) Bu Yönerge, Üniversitenin kamu yararı, bilimsel üretim, kurumsal menfaat, araştırmacı hakları, hukuki güvenlik, şeffaflık ve hesap verebilirlik ilkeleri çerçevesinde fikri ve sınai mülkiyet süreçlerini yönetmesini amaçlar. </w:t>
      </w:r>
    </w:p>
    <w:p w14:paraId="6D0295C3" w14:textId="77777777" w:rsidR="006F1CFE" w:rsidRDefault="00C62C3C">
      <w:pPr>
        <w:spacing w:after="105" w:line="360" w:lineRule="auto"/>
        <w:jc w:val="center"/>
      </w:pPr>
      <w:bookmarkStart w:id="4" w:name="kapsam"/>
      <w:r>
        <w:rPr>
          <w:rFonts w:eastAsia="Times New Roman" w:hAnsi="Times New Roman" w:cs="Times New Roman"/>
          <w:b/>
          <w:color w:val="000000"/>
        </w:rPr>
        <w:t>Kapsam</w:t>
      </w:r>
      <w:bookmarkEnd w:id="4"/>
    </w:p>
    <w:p w14:paraId="17384C2F" w14:textId="12D12F2E" w:rsidR="006F1CFE" w:rsidRDefault="00C62C3C">
      <w:pPr>
        <w:spacing w:after="0" w:line="360" w:lineRule="auto"/>
        <w:ind w:firstLine="709"/>
        <w:jc w:val="both"/>
      </w:pPr>
      <w:r>
        <w:rPr>
          <w:rFonts w:eastAsia="Times New Roman" w:hAnsi="Times New Roman" w:cs="Times New Roman"/>
          <w:b/>
          <w:color w:val="000000"/>
        </w:rPr>
        <w:t>Madde 2</w:t>
      </w:r>
      <w:r>
        <w:rPr>
          <w:rFonts w:eastAsia="Times New Roman" w:hAnsi="Times New Roman" w:cs="Times New Roman"/>
          <w:color w:val="000000"/>
        </w:rPr>
        <w:t xml:space="preserve"> – (1) Bu Yönerge; Üniversitede tam zamanlı veya yarı zamanlı görev yapan öğretim elemanlarını, idari personeli, sözleşmeli personeli, proje personelini, bursiyerleri, stajyerleri, lisans ve lisansüstü öğrencileri, doktora sonrası araştırmacıları, misafir araştırmacıları ve Üniversite adına veya Üniversite imkânları kullanılarak çalışma yürüten diğer gerçek kişileri kapsar. </w:t>
      </w:r>
    </w:p>
    <w:p w14:paraId="65CF61BE" w14:textId="40B52EFC" w:rsidR="006F1CFE" w:rsidRDefault="00C62C3C">
      <w:pPr>
        <w:spacing w:after="0" w:line="360" w:lineRule="auto"/>
        <w:ind w:firstLine="709"/>
        <w:jc w:val="both"/>
      </w:pPr>
      <w:r>
        <w:rPr>
          <w:rFonts w:eastAsia="Times New Roman" w:hAnsi="Times New Roman" w:cs="Times New Roman"/>
          <w:color w:val="000000"/>
        </w:rPr>
        <w:t xml:space="preserve">(2) Üniversite mensuplarının diğer kamu kurumları, özel kuruluşlar, fon sağlayıcılar veya uluslararası kuruluşlarla imzalanmış sözleşmeler kapsamında yürüttükleri çalışmalardan doğan fikri ve sınai mülkiyet hakları bakımından, ilgili emredici mevzuat hükümleri ile sözleşme hükümleri saklıdır. </w:t>
      </w:r>
    </w:p>
    <w:p w14:paraId="5FE5987A" w14:textId="77777777" w:rsidR="006F1CFE" w:rsidRDefault="00C62C3C">
      <w:pPr>
        <w:spacing w:after="105" w:line="360" w:lineRule="auto"/>
        <w:jc w:val="center"/>
      </w:pPr>
      <w:bookmarkStart w:id="5" w:name="dayanak"/>
      <w:r>
        <w:rPr>
          <w:rFonts w:eastAsia="Times New Roman" w:hAnsi="Times New Roman" w:cs="Times New Roman"/>
          <w:b/>
          <w:color w:val="000000"/>
        </w:rPr>
        <w:t>Dayanak</w:t>
      </w:r>
      <w:bookmarkEnd w:id="5"/>
    </w:p>
    <w:p w14:paraId="06177417" w14:textId="01D86380" w:rsidR="006F1CFE" w:rsidRDefault="00C62C3C">
      <w:pPr>
        <w:spacing w:after="0" w:line="360" w:lineRule="auto"/>
        <w:ind w:firstLine="709"/>
        <w:jc w:val="both"/>
      </w:pPr>
      <w:r>
        <w:rPr>
          <w:rFonts w:eastAsia="Times New Roman" w:hAnsi="Times New Roman" w:cs="Times New Roman"/>
          <w:b/>
          <w:color w:val="000000"/>
        </w:rPr>
        <w:t>Madde 3</w:t>
      </w:r>
      <w:r>
        <w:rPr>
          <w:rFonts w:eastAsia="Times New Roman" w:hAnsi="Times New Roman" w:cs="Times New Roman"/>
          <w:color w:val="000000"/>
        </w:rPr>
        <w:t xml:space="preserve"> – (1) Bu Yönerge; 2547 sayılı Yükseköğretim Kanununun 14. ve 53/b maddeleri, 2809 sayılı Yükseköğretim Kurumları Teşkilatı Kanunu, 6769 sayılı Sınai Mülkiyet Kanununun 113. ve 114. maddeleri, 5846 sayılı Fikir ve Sanat Eserleri Kanunu, 6698 sayılı Kişisel Verilerin Korunması Kanunu, Sınai Mülkiyet Kanununun Uygulanmasına Dair Yönetmelik, Çalışan Buluşlarına, Yükseköğretim Kurumlarında Gerçekleştirilen Buluşlara ve Kamu Destekli Projelerde Ortaya Çıkan Buluşlara Dair Yönetmelik ile ilgili diğer mevzuat hükü</w:t>
      </w:r>
      <w:r>
        <w:rPr>
          <w:rFonts w:eastAsia="Times New Roman" w:hAnsi="Times New Roman" w:cs="Times New Roman"/>
          <w:color w:val="000000"/>
        </w:rPr>
        <w:t xml:space="preserve">mlerine dayanılarak Ağrı İbrahim Çeçen Üniversitesi Senatosu tarafından hazırlanmıştır. </w:t>
      </w:r>
    </w:p>
    <w:p w14:paraId="4CCD3BD2" w14:textId="77777777" w:rsidR="006F1CFE" w:rsidRDefault="00C62C3C">
      <w:pPr>
        <w:spacing w:after="105" w:line="360" w:lineRule="auto"/>
        <w:jc w:val="center"/>
      </w:pPr>
      <w:bookmarkStart w:id="6" w:name="tanımlar"/>
      <w:r>
        <w:rPr>
          <w:rFonts w:eastAsia="Times New Roman" w:hAnsi="Times New Roman" w:cs="Times New Roman"/>
          <w:b/>
          <w:color w:val="000000"/>
        </w:rPr>
        <w:t>Tanımlar</w:t>
      </w:r>
      <w:bookmarkEnd w:id="6"/>
    </w:p>
    <w:p w14:paraId="787CBA3B" w14:textId="77777777" w:rsidR="006F1CFE" w:rsidRDefault="00C62C3C">
      <w:pPr>
        <w:spacing w:after="0" w:line="360" w:lineRule="auto"/>
        <w:ind w:firstLine="709"/>
        <w:jc w:val="both"/>
      </w:pPr>
      <w:r>
        <w:rPr>
          <w:rFonts w:eastAsia="Times New Roman" w:hAnsi="Times New Roman" w:cs="Times New Roman"/>
          <w:b/>
          <w:color w:val="000000"/>
        </w:rPr>
        <w:t>Madde 4</w:t>
      </w:r>
      <w:r>
        <w:rPr>
          <w:rFonts w:eastAsia="Times New Roman" w:hAnsi="Times New Roman" w:cs="Times New Roman"/>
          <w:color w:val="000000"/>
        </w:rPr>
        <w:t xml:space="preserve"> – (1) Bu Yönergede geçen;</w:t>
      </w:r>
    </w:p>
    <w:p w14:paraId="64016C8E" w14:textId="77777777" w:rsidR="006F1CFE" w:rsidRDefault="00C62C3C">
      <w:pPr>
        <w:spacing w:after="0" w:line="360" w:lineRule="auto"/>
        <w:ind w:firstLine="709"/>
        <w:jc w:val="both"/>
      </w:pPr>
      <w:r>
        <w:rPr>
          <w:rFonts w:eastAsia="Times New Roman" w:hAnsi="Times New Roman" w:cs="Times New Roman"/>
          <w:color w:val="000000"/>
        </w:rPr>
        <w:t xml:space="preserve">a) </w:t>
      </w:r>
      <w:r>
        <w:rPr>
          <w:rFonts w:eastAsia="Times New Roman" w:hAnsi="Times New Roman" w:cs="Times New Roman"/>
          <w:b/>
          <w:color w:val="000000"/>
        </w:rPr>
        <w:t>Üniversite:</w:t>
      </w:r>
      <w:r>
        <w:rPr>
          <w:rFonts w:eastAsia="Times New Roman" w:hAnsi="Times New Roman" w:cs="Times New Roman"/>
          <w:color w:val="000000"/>
        </w:rPr>
        <w:t xml:space="preserve"> Ağrı İbrahim Çeçen Üniversitesini,</w:t>
      </w:r>
    </w:p>
    <w:p w14:paraId="25AE7EFF" w14:textId="77777777" w:rsidR="006F1CFE" w:rsidRDefault="00C62C3C">
      <w:pPr>
        <w:spacing w:after="0" w:line="360" w:lineRule="auto"/>
        <w:ind w:firstLine="709"/>
        <w:jc w:val="both"/>
      </w:pPr>
      <w:r>
        <w:rPr>
          <w:rFonts w:eastAsia="Times New Roman" w:hAnsi="Times New Roman" w:cs="Times New Roman"/>
          <w:color w:val="000000"/>
        </w:rPr>
        <w:t xml:space="preserve">b) </w:t>
      </w:r>
      <w:r>
        <w:rPr>
          <w:rFonts w:eastAsia="Times New Roman" w:hAnsi="Times New Roman" w:cs="Times New Roman"/>
          <w:b/>
          <w:color w:val="000000"/>
        </w:rPr>
        <w:t>Rektör:</w:t>
      </w:r>
      <w:r>
        <w:rPr>
          <w:rFonts w:eastAsia="Times New Roman" w:hAnsi="Times New Roman" w:cs="Times New Roman"/>
          <w:color w:val="000000"/>
        </w:rPr>
        <w:t xml:space="preserve"> Ağrı İbrahim Çeçen Üniversitesi Rektörünü,</w:t>
      </w:r>
    </w:p>
    <w:p w14:paraId="324AB655" w14:textId="77777777" w:rsidR="006F1CFE" w:rsidRDefault="00C62C3C">
      <w:pPr>
        <w:spacing w:after="0" w:line="360" w:lineRule="auto"/>
        <w:ind w:firstLine="709"/>
        <w:jc w:val="both"/>
      </w:pPr>
      <w:r>
        <w:rPr>
          <w:rFonts w:eastAsia="Times New Roman" w:hAnsi="Times New Roman" w:cs="Times New Roman"/>
          <w:color w:val="000000"/>
        </w:rPr>
        <w:t xml:space="preserve">c) </w:t>
      </w:r>
      <w:r>
        <w:rPr>
          <w:rFonts w:eastAsia="Times New Roman" w:hAnsi="Times New Roman" w:cs="Times New Roman"/>
          <w:b/>
          <w:color w:val="000000"/>
        </w:rPr>
        <w:t>Rektörlük:</w:t>
      </w:r>
      <w:r>
        <w:rPr>
          <w:rFonts w:eastAsia="Times New Roman" w:hAnsi="Times New Roman" w:cs="Times New Roman"/>
          <w:color w:val="000000"/>
        </w:rPr>
        <w:t xml:space="preserve"> Ağrı İbrahim Çeçen Üniversitesi Rektörlüğünü,</w:t>
      </w:r>
    </w:p>
    <w:p w14:paraId="7741AF78" w14:textId="77777777" w:rsidR="006F1CFE" w:rsidRDefault="00C62C3C">
      <w:pPr>
        <w:spacing w:after="0" w:line="360" w:lineRule="auto"/>
        <w:ind w:firstLine="709"/>
        <w:jc w:val="both"/>
      </w:pPr>
      <w:r>
        <w:rPr>
          <w:rFonts w:eastAsia="Times New Roman" w:hAnsi="Times New Roman" w:cs="Times New Roman"/>
          <w:color w:val="000000"/>
        </w:rPr>
        <w:t xml:space="preserve">ç) </w:t>
      </w:r>
      <w:r>
        <w:rPr>
          <w:rFonts w:eastAsia="Times New Roman" w:hAnsi="Times New Roman" w:cs="Times New Roman"/>
          <w:b/>
          <w:color w:val="000000"/>
        </w:rPr>
        <w:t>Senato:</w:t>
      </w:r>
      <w:r>
        <w:rPr>
          <w:rFonts w:eastAsia="Times New Roman" w:hAnsi="Times New Roman" w:cs="Times New Roman"/>
          <w:color w:val="000000"/>
        </w:rPr>
        <w:t xml:space="preserve"> Ağrı İbrahim Çeçen Üniversitesi Senatosunu,</w:t>
      </w:r>
    </w:p>
    <w:p w14:paraId="2DF59192" w14:textId="77777777" w:rsidR="006F1CFE" w:rsidRDefault="00C62C3C">
      <w:pPr>
        <w:spacing w:after="0" w:line="360" w:lineRule="auto"/>
        <w:ind w:firstLine="709"/>
        <w:jc w:val="both"/>
      </w:pPr>
      <w:r>
        <w:rPr>
          <w:rFonts w:eastAsia="Times New Roman" w:hAnsi="Times New Roman" w:cs="Times New Roman"/>
          <w:color w:val="000000"/>
        </w:rPr>
        <w:t xml:space="preserve">d) </w:t>
      </w:r>
      <w:r>
        <w:rPr>
          <w:rFonts w:eastAsia="Times New Roman" w:hAnsi="Times New Roman" w:cs="Times New Roman"/>
          <w:b/>
          <w:color w:val="000000"/>
        </w:rPr>
        <w:t>Komisyon:</w:t>
      </w:r>
      <w:r>
        <w:rPr>
          <w:rFonts w:eastAsia="Times New Roman" w:hAnsi="Times New Roman" w:cs="Times New Roman"/>
          <w:color w:val="000000"/>
        </w:rPr>
        <w:t xml:space="preserve"> Ağrı İbrahim Çeçen Üniversitesi Fikri ve Sınai Mülkiyet Hakları Komisyonunu,</w:t>
      </w:r>
    </w:p>
    <w:p w14:paraId="40DE54FF" w14:textId="77777777" w:rsidR="006F1CFE" w:rsidRDefault="00C62C3C">
      <w:pPr>
        <w:spacing w:after="0" w:line="360" w:lineRule="auto"/>
        <w:ind w:firstLine="709"/>
        <w:jc w:val="both"/>
      </w:pPr>
      <w:r>
        <w:rPr>
          <w:rFonts w:eastAsia="Times New Roman" w:hAnsi="Times New Roman" w:cs="Times New Roman"/>
          <w:color w:val="000000"/>
        </w:rPr>
        <w:lastRenderedPageBreak/>
        <w:t xml:space="preserve">e) </w:t>
      </w:r>
      <w:r>
        <w:rPr>
          <w:rFonts w:eastAsia="Times New Roman" w:hAnsi="Times New Roman" w:cs="Times New Roman"/>
          <w:b/>
          <w:color w:val="000000"/>
        </w:rPr>
        <w:t>TTO:</w:t>
      </w:r>
      <w:r>
        <w:rPr>
          <w:rFonts w:eastAsia="Times New Roman" w:hAnsi="Times New Roman" w:cs="Times New Roman"/>
          <w:color w:val="000000"/>
        </w:rPr>
        <w:t xml:space="preserve"> Ağrı İbrahim Çeçen Üniversitesi Rektörlüğüne bağlı olarak faaliyet gösteren Teknoloji Transferi Uygulama ve Araştırma Merkezini,</w:t>
      </w:r>
    </w:p>
    <w:p w14:paraId="2C6F9500" w14:textId="77777777" w:rsidR="006F1CFE" w:rsidRDefault="00C62C3C">
      <w:pPr>
        <w:spacing w:after="0" w:line="360" w:lineRule="auto"/>
        <w:ind w:firstLine="709"/>
        <w:jc w:val="both"/>
      </w:pPr>
      <w:r>
        <w:rPr>
          <w:rFonts w:eastAsia="Times New Roman" w:hAnsi="Times New Roman" w:cs="Times New Roman"/>
          <w:color w:val="000000"/>
        </w:rPr>
        <w:t xml:space="preserve">f) </w:t>
      </w:r>
      <w:r>
        <w:rPr>
          <w:rFonts w:eastAsia="Times New Roman" w:hAnsi="Times New Roman" w:cs="Times New Roman"/>
          <w:b/>
          <w:color w:val="000000"/>
        </w:rPr>
        <w:t>TTO Müdürü:</w:t>
      </w:r>
      <w:r>
        <w:rPr>
          <w:rFonts w:eastAsia="Times New Roman" w:hAnsi="Times New Roman" w:cs="Times New Roman"/>
          <w:color w:val="000000"/>
        </w:rPr>
        <w:t xml:space="preserve"> Teknoloji Transferi Uygulama ve Araştırma Merkezi Müdürünü,</w:t>
      </w:r>
    </w:p>
    <w:p w14:paraId="4FB3FD16" w14:textId="77777777" w:rsidR="006F1CFE" w:rsidRDefault="00C62C3C">
      <w:pPr>
        <w:spacing w:after="0" w:line="360" w:lineRule="auto"/>
        <w:ind w:firstLine="709"/>
        <w:jc w:val="both"/>
      </w:pPr>
      <w:r>
        <w:rPr>
          <w:rFonts w:eastAsia="Times New Roman" w:hAnsi="Times New Roman" w:cs="Times New Roman"/>
          <w:color w:val="000000"/>
        </w:rPr>
        <w:t xml:space="preserve">g) </w:t>
      </w:r>
      <w:r>
        <w:rPr>
          <w:rFonts w:eastAsia="Times New Roman" w:hAnsi="Times New Roman" w:cs="Times New Roman"/>
          <w:b/>
          <w:color w:val="000000"/>
        </w:rPr>
        <w:t>Akademik Birimler:</w:t>
      </w:r>
      <w:r>
        <w:rPr>
          <w:rFonts w:eastAsia="Times New Roman" w:hAnsi="Times New Roman" w:cs="Times New Roman"/>
          <w:color w:val="000000"/>
        </w:rPr>
        <w:t xml:space="preserve"> Üniversitenin fakülteleri, enstitüleri, yüksekokulları, meslek yüksekokulları, araştırma ve uygulama merkezleri ile Rektörlüğe bağlı akademik nitelikli birimlerini,</w:t>
      </w:r>
    </w:p>
    <w:p w14:paraId="470117E6" w14:textId="77777777" w:rsidR="006F1CFE" w:rsidRDefault="00C62C3C">
      <w:pPr>
        <w:spacing w:after="0" w:line="360" w:lineRule="auto"/>
        <w:ind w:firstLine="709"/>
        <w:jc w:val="both"/>
      </w:pPr>
      <w:r>
        <w:rPr>
          <w:rFonts w:eastAsia="Times New Roman" w:hAnsi="Times New Roman" w:cs="Times New Roman"/>
          <w:color w:val="000000"/>
        </w:rPr>
        <w:t xml:space="preserve">ğ) </w:t>
      </w:r>
      <w:r>
        <w:rPr>
          <w:rFonts w:eastAsia="Times New Roman" w:hAnsi="Times New Roman" w:cs="Times New Roman"/>
          <w:b/>
          <w:color w:val="000000"/>
        </w:rPr>
        <w:t>İdari Birimler:</w:t>
      </w:r>
      <w:r>
        <w:rPr>
          <w:rFonts w:eastAsia="Times New Roman" w:hAnsi="Times New Roman" w:cs="Times New Roman"/>
          <w:color w:val="000000"/>
        </w:rPr>
        <w:t xml:space="preserve"> Genel Sekreterlik, daire başkanlıkları, koordinatörlükler, ofisler ve Rektörlüğe bağlı diğer idari birimleri,</w:t>
      </w:r>
    </w:p>
    <w:p w14:paraId="0FFEA368" w14:textId="77777777" w:rsidR="006F1CFE" w:rsidRDefault="00C62C3C">
      <w:pPr>
        <w:spacing w:after="0" w:line="360" w:lineRule="auto"/>
        <w:ind w:firstLine="709"/>
        <w:jc w:val="both"/>
      </w:pPr>
      <w:r>
        <w:rPr>
          <w:rFonts w:eastAsia="Times New Roman" w:hAnsi="Times New Roman" w:cs="Times New Roman"/>
          <w:color w:val="000000"/>
        </w:rPr>
        <w:t xml:space="preserve">h) </w:t>
      </w:r>
      <w:r>
        <w:rPr>
          <w:rFonts w:eastAsia="Times New Roman" w:hAnsi="Times New Roman" w:cs="Times New Roman"/>
          <w:b/>
          <w:color w:val="000000"/>
        </w:rPr>
        <w:t>Üniversite Mensubu:</w:t>
      </w:r>
      <w:r>
        <w:rPr>
          <w:rFonts w:eastAsia="Times New Roman" w:hAnsi="Times New Roman" w:cs="Times New Roman"/>
          <w:color w:val="000000"/>
        </w:rPr>
        <w:t xml:space="preserve"> Üniversitede tam zamanlı veya yarı zamanlı görev yapan öğretim elemanlarını, idari personeli, sözleşmeli personeli, proje personelini, bursiyerleri, stajyerleri, lisans ve lisansüstü öğrencileri, doktora sonrası araştırmacıları, misafir araştırmacıları ve Üniversite adına veya Üniversite imkânları kullanılarak çalışma yürüten diğer gerçek kişileri,</w:t>
      </w:r>
    </w:p>
    <w:p w14:paraId="36CF7FE2" w14:textId="77777777" w:rsidR="006F1CFE" w:rsidRDefault="00C62C3C">
      <w:pPr>
        <w:spacing w:after="0" w:line="360" w:lineRule="auto"/>
        <w:ind w:firstLine="709"/>
        <w:jc w:val="both"/>
      </w:pPr>
      <w:r>
        <w:rPr>
          <w:rFonts w:eastAsia="Times New Roman" w:hAnsi="Times New Roman" w:cs="Times New Roman"/>
          <w:color w:val="000000"/>
        </w:rPr>
        <w:t xml:space="preserve">ı) </w:t>
      </w:r>
      <w:r>
        <w:rPr>
          <w:rFonts w:eastAsia="Times New Roman" w:hAnsi="Times New Roman" w:cs="Times New Roman"/>
          <w:b/>
          <w:color w:val="000000"/>
        </w:rPr>
        <w:t>SMK:</w:t>
      </w:r>
      <w:r>
        <w:rPr>
          <w:rFonts w:eastAsia="Times New Roman" w:hAnsi="Times New Roman" w:cs="Times New Roman"/>
          <w:color w:val="000000"/>
        </w:rPr>
        <w:t xml:space="preserve"> 6769 sayılı Sınai Mülkiyet Kanununu,</w:t>
      </w:r>
    </w:p>
    <w:p w14:paraId="5169D64B" w14:textId="77777777" w:rsidR="006F1CFE" w:rsidRDefault="00C62C3C">
      <w:pPr>
        <w:spacing w:after="0" w:line="360" w:lineRule="auto"/>
        <w:ind w:firstLine="709"/>
        <w:jc w:val="both"/>
      </w:pPr>
      <w:r>
        <w:rPr>
          <w:rFonts w:eastAsia="Times New Roman" w:hAnsi="Times New Roman" w:cs="Times New Roman"/>
          <w:color w:val="000000"/>
        </w:rPr>
        <w:t xml:space="preserve">i) </w:t>
      </w:r>
      <w:r>
        <w:rPr>
          <w:rFonts w:eastAsia="Times New Roman" w:hAnsi="Times New Roman" w:cs="Times New Roman"/>
          <w:b/>
          <w:color w:val="000000"/>
        </w:rPr>
        <w:t>Fikri ve Sınai Mülkiyet Hakları:</w:t>
      </w:r>
      <w:r>
        <w:rPr>
          <w:rFonts w:eastAsia="Times New Roman" w:hAnsi="Times New Roman" w:cs="Times New Roman"/>
          <w:color w:val="000000"/>
        </w:rPr>
        <w:t xml:space="preserve"> Patent, faydalı model, endüstriyel tasarım, marka, coğrafi işaret, entegre devre topografyası, yeni bitki çeşidine ilişkin haklar, bilgisayar programları, veri tabanları, telif konusu eserler, teknik bilgi, know-how, ticari sır ve benzeri maddi olmayan fikrî ürünler üzerindeki başvuru, tescil, kullanım, lisans, devir, koruma, yenileme ve bunlardan doğan mali hakları,</w:t>
      </w:r>
    </w:p>
    <w:p w14:paraId="644EE93D" w14:textId="77777777" w:rsidR="006F1CFE" w:rsidRDefault="00C62C3C">
      <w:pPr>
        <w:spacing w:after="0" w:line="360" w:lineRule="auto"/>
        <w:ind w:firstLine="709"/>
        <w:jc w:val="both"/>
      </w:pPr>
      <w:r>
        <w:rPr>
          <w:rFonts w:eastAsia="Times New Roman" w:hAnsi="Times New Roman" w:cs="Times New Roman"/>
          <w:color w:val="000000"/>
        </w:rPr>
        <w:t xml:space="preserve">j) </w:t>
      </w:r>
      <w:r>
        <w:rPr>
          <w:rFonts w:eastAsia="Times New Roman" w:hAnsi="Times New Roman" w:cs="Times New Roman"/>
          <w:b/>
          <w:color w:val="000000"/>
        </w:rPr>
        <w:t>Buluş:</w:t>
      </w:r>
      <w:r>
        <w:rPr>
          <w:rFonts w:eastAsia="Times New Roman" w:hAnsi="Times New Roman" w:cs="Times New Roman"/>
          <w:color w:val="000000"/>
        </w:rPr>
        <w:t xml:space="preserve"> Tarım dâhil sanayinin herhangi bir alanındaki teknik bir probleme çözüm getiren, yenilik ve buluş basamağı niteliği taşıyabilen ve sanayiye uygulanabilir nitelikte ürün, yöntem, cihaz, sistem, bileşim veya bunlara ilişkin teknik geliştirmeleri,</w:t>
      </w:r>
    </w:p>
    <w:p w14:paraId="4256BBE0" w14:textId="77777777" w:rsidR="006F1CFE" w:rsidRDefault="00C62C3C">
      <w:pPr>
        <w:spacing w:after="0" w:line="360" w:lineRule="auto"/>
        <w:ind w:firstLine="709"/>
        <w:jc w:val="both"/>
      </w:pPr>
      <w:r>
        <w:rPr>
          <w:rFonts w:eastAsia="Times New Roman" w:hAnsi="Times New Roman" w:cs="Times New Roman"/>
          <w:color w:val="000000"/>
        </w:rPr>
        <w:t xml:space="preserve">k) </w:t>
      </w:r>
      <w:r>
        <w:rPr>
          <w:rFonts w:eastAsia="Times New Roman" w:hAnsi="Times New Roman" w:cs="Times New Roman"/>
          <w:b/>
          <w:color w:val="000000"/>
        </w:rPr>
        <w:t>Buluş Sahibi:</w:t>
      </w:r>
      <w:r>
        <w:rPr>
          <w:rFonts w:eastAsia="Times New Roman" w:hAnsi="Times New Roman" w:cs="Times New Roman"/>
          <w:color w:val="000000"/>
        </w:rPr>
        <w:t xml:space="preserve"> Buluşu gerçekleştiren gerçek kişi veya kişileri,</w:t>
      </w:r>
    </w:p>
    <w:p w14:paraId="14725DBD" w14:textId="77777777" w:rsidR="006F1CFE" w:rsidRDefault="00C62C3C">
      <w:pPr>
        <w:spacing w:after="0" w:line="360" w:lineRule="auto"/>
        <w:ind w:firstLine="709"/>
        <w:jc w:val="both"/>
      </w:pPr>
      <w:r>
        <w:rPr>
          <w:rFonts w:eastAsia="Times New Roman" w:hAnsi="Times New Roman" w:cs="Times New Roman"/>
          <w:color w:val="000000"/>
        </w:rPr>
        <w:t xml:space="preserve">l) </w:t>
      </w:r>
      <w:r>
        <w:rPr>
          <w:rFonts w:eastAsia="Times New Roman" w:hAnsi="Times New Roman" w:cs="Times New Roman"/>
          <w:b/>
          <w:color w:val="000000"/>
        </w:rPr>
        <w:t>Ortak Buluş:</w:t>
      </w:r>
      <w:r>
        <w:rPr>
          <w:rFonts w:eastAsia="Times New Roman" w:hAnsi="Times New Roman" w:cs="Times New Roman"/>
          <w:color w:val="000000"/>
        </w:rPr>
        <w:t xml:space="preserve"> Birden fazla gerçek kişinin yaratıcı ve teknik katkısıyla meydana gelen buluşu,</w:t>
      </w:r>
    </w:p>
    <w:p w14:paraId="0282DB94" w14:textId="77777777" w:rsidR="006F1CFE" w:rsidRDefault="00C62C3C">
      <w:pPr>
        <w:spacing w:after="0" w:line="360" w:lineRule="auto"/>
        <w:ind w:firstLine="709"/>
        <w:jc w:val="both"/>
      </w:pPr>
      <w:r>
        <w:rPr>
          <w:rFonts w:eastAsia="Times New Roman" w:hAnsi="Times New Roman" w:cs="Times New Roman"/>
          <w:color w:val="000000"/>
        </w:rPr>
        <w:t xml:space="preserve">m) </w:t>
      </w:r>
      <w:r>
        <w:rPr>
          <w:rFonts w:eastAsia="Times New Roman" w:hAnsi="Times New Roman" w:cs="Times New Roman"/>
          <w:b/>
          <w:color w:val="000000"/>
        </w:rPr>
        <w:t>Katkı Oranı:</w:t>
      </w:r>
      <w:r>
        <w:rPr>
          <w:rFonts w:eastAsia="Times New Roman" w:hAnsi="Times New Roman" w:cs="Times New Roman"/>
          <w:color w:val="000000"/>
        </w:rPr>
        <w:t xml:space="preserve"> Ortak buluşta her bir buluş sahibinin ortaya çıkan teknik çözüm üzerindeki yaratıcı katkı düzeyini gösteren oranı,</w:t>
      </w:r>
    </w:p>
    <w:p w14:paraId="712E6DEA" w14:textId="77777777" w:rsidR="006F1CFE" w:rsidRDefault="00C62C3C">
      <w:pPr>
        <w:spacing w:after="0" w:line="360" w:lineRule="auto"/>
        <w:ind w:firstLine="709"/>
        <w:jc w:val="both"/>
      </w:pPr>
      <w:r>
        <w:rPr>
          <w:rFonts w:eastAsia="Times New Roman" w:hAnsi="Times New Roman" w:cs="Times New Roman"/>
          <w:color w:val="000000"/>
        </w:rPr>
        <w:t xml:space="preserve">n) </w:t>
      </w:r>
      <w:r>
        <w:rPr>
          <w:rFonts w:eastAsia="Times New Roman" w:hAnsi="Times New Roman" w:cs="Times New Roman"/>
          <w:b/>
          <w:color w:val="000000"/>
        </w:rPr>
        <w:t>BBF:</w:t>
      </w:r>
      <w:r>
        <w:rPr>
          <w:rFonts w:eastAsia="Times New Roman" w:hAnsi="Times New Roman" w:cs="Times New Roman"/>
          <w:color w:val="000000"/>
        </w:rPr>
        <w:t xml:space="preserve"> Buluş Bildirim Formunu,</w:t>
      </w:r>
    </w:p>
    <w:p w14:paraId="1D3BB036" w14:textId="77777777" w:rsidR="006F1CFE" w:rsidRDefault="00C62C3C">
      <w:pPr>
        <w:spacing w:after="0" w:line="360" w:lineRule="auto"/>
        <w:ind w:firstLine="709"/>
        <w:jc w:val="both"/>
      </w:pPr>
      <w:r>
        <w:rPr>
          <w:rFonts w:eastAsia="Times New Roman" w:hAnsi="Times New Roman" w:cs="Times New Roman"/>
          <w:color w:val="000000"/>
        </w:rPr>
        <w:t xml:space="preserve">o) </w:t>
      </w:r>
      <w:r>
        <w:rPr>
          <w:rFonts w:eastAsia="Times New Roman" w:hAnsi="Times New Roman" w:cs="Times New Roman"/>
          <w:b/>
          <w:color w:val="000000"/>
        </w:rPr>
        <w:t>Başvuru:</w:t>
      </w:r>
      <w:r>
        <w:rPr>
          <w:rFonts w:eastAsia="Times New Roman" w:hAnsi="Times New Roman" w:cs="Times New Roman"/>
          <w:color w:val="000000"/>
        </w:rPr>
        <w:t xml:space="preserve"> Patent, faydalı model, tasarım, marka veya diğer koruma türleri için Türk Patent ve Marka Kurumu veya yetkili ulusal ya da uluslararası mercilere yapılan resmi başvuruyu,</w:t>
      </w:r>
    </w:p>
    <w:p w14:paraId="15E3B7F3" w14:textId="77777777" w:rsidR="006F1CFE" w:rsidRDefault="00C62C3C">
      <w:pPr>
        <w:spacing w:after="0" w:line="360" w:lineRule="auto"/>
        <w:ind w:firstLine="709"/>
        <w:jc w:val="both"/>
      </w:pPr>
      <w:r>
        <w:rPr>
          <w:rFonts w:eastAsia="Times New Roman" w:hAnsi="Times New Roman" w:cs="Times New Roman"/>
          <w:color w:val="000000"/>
        </w:rPr>
        <w:t xml:space="preserve">ö) </w:t>
      </w:r>
      <w:r>
        <w:rPr>
          <w:rFonts w:eastAsia="Times New Roman" w:hAnsi="Times New Roman" w:cs="Times New Roman"/>
          <w:b/>
          <w:color w:val="000000"/>
        </w:rPr>
        <w:t>Tescil:</w:t>
      </w:r>
      <w:r>
        <w:rPr>
          <w:rFonts w:eastAsia="Times New Roman" w:hAnsi="Times New Roman" w:cs="Times New Roman"/>
          <w:color w:val="000000"/>
        </w:rPr>
        <w:t xml:space="preserve"> Başvuru konusu hakkın yetkili merci tarafından koruma altına alınmasını veya belgeye bağlanmasını,</w:t>
      </w:r>
    </w:p>
    <w:p w14:paraId="5C149ED2" w14:textId="77777777" w:rsidR="006F1CFE" w:rsidRDefault="00C62C3C">
      <w:pPr>
        <w:spacing w:after="0" w:line="360" w:lineRule="auto"/>
        <w:ind w:firstLine="709"/>
        <w:jc w:val="both"/>
      </w:pPr>
      <w:r>
        <w:rPr>
          <w:rFonts w:eastAsia="Times New Roman" w:hAnsi="Times New Roman" w:cs="Times New Roman"/>
          <w:color w:val="000000"/>
        </w:rPr>
        <w:t xml:space="preserve">p) </w:t>
      </w:r>
      <w:r>
        <w:rPr>
          <w:rFonts w:eastAsia="Times New Roman" w:hAnsi="Times New Roman" w:cs="Times New Roman"/>
          <w:b/>
          <w:color w:val="000000"/>
        </w:rPr>
        <w:t>Hizmet Buluşu:</w:t>
      </w:r>
      <w:r>
        <w:rPr>
          <w:rFonts w:eastAsia="Times New Roman" w:hAnsi="Times New Roman" w:cs="Times New Roman"/>
          <w:color w:val="000000"/>
        </w:rPr>
        <w:t xml:space="preserve"> İlgili mevzuat uyarınca Üniversitede yapılan bilimsel çalışmalar veya araştırmalar sonucunda gerçekleştirilen ya da Üniversitede edinilen bilgi, deneyim ve çalışmalar ile Üniversitenin araç, gereç, laboratuvar, altyapı, bütçe, veri, yazılım, insan kaynağı veya diğer kurumsal imkânlarından yararlanılarak ortaya çıkarılan buluşları,</w:t>
      </w:r>
    </w:p>
    <w:p w14:paraId="1E1DCB50" w14:textId="77777777" w:rsidR="006F1CFE" w:rsidRDefault="00C62C3C">
      <w:pPr>
        <w:spacing w:after="0" w:line="360" w:lineRule="auto"/>
        <w:ind w:firstLine="709"/>
        <w:jc w:val="both"/>
      </w:pPr>
      <w:r>
        <w:rPr>
          <w:rFonts w:eastAsia="Times New Roman" w:hAnsi="Times New Roman" w:cs="Times New Roman"/>
          <w:color w:val="000000"/>
        </w:rPr>
        <w:t xml:space="preserve">r) </w:t>
      </w:r>
      <w:r>
        <w:rPr>
          <w:rFonts w:eastAsia="Times New Roman" w:hAnsi="Times New Roman" w:cs="Times New Roman"/>
          <w:b/>
          <w:color w:val="000000"/>
        </w:rPr>
        <w:t>Serbest Buluş:</w:t>
      </w:r>
      <w:r>
        <w:rPr>
          <w:rFonts w:eastAsia="Times New Roman" w:hAnsi="Times New Roman" w:cs="Times New Roman"/>
          <w:color w:val="000000"/>
        </w:rPr>
        <w:t xml:space="preserve"> Hizmet buluşu niteliğinde olmayan ve ilgili mevzuat uyarınca Üniversitenin hak sahipliği talebine konu edilemeyen buluşları,</w:t>
      </w:r>
    </w:p>
    <w:p w14:paraId="780D7A8D" w14:textId="77777777" w:rsidR="006F1CFE" w:rsidRDefault="00C62C3C">
      <w:pPr>
        <w:spacing w:after="0" w:line="360" w:lineRule="auto"/>
        <w:ind w:firstLine="709"/>
        <w:jc w:val="both"/>
      </w:pPr>
      <w:r>
        <w:rPr>
          <w:rFonts w:eastAsia="Times New Roman" w:hAnsi="Times New Roman" w:cs="Times New Roman"/>
          <w:color w:val="000000"/>
        </w:rPr>
        <w:t xml:space="preserve">s) </w:t>
      </w:r>
      <w:r>
        <w:rPr>
          <w:rFonts w:eastAsia="Times New Roman" w:hAnsi="Times New Roman" w:cs="Times New Roman"/>
          <w:b/>
          <w:color w:val="000000"/>
        </w:rPr>
        <w:t>Hak Sahipliği Talebi:</w:t>
      </w:r>
      <w:r>
        <w:rPr>
          <w:rFonts w:eastAsia="Times New Roman" w:hAnsi="Times New Roman" w:cs="Times New Roman"/>
          <w:color w:val="000000"/>
        </w:rPr>
        <w:t xml:space="preserve"> Üniversitenin, bildirilen buluş veya diğer fikri ürün üzerinde ilgili mevzuat kapsamında tam veya kısmi hak sahibi olma yönündeki yazılı irade açıklamasını,</w:t>
      </w:r>
    </w:p>
    <w:p w14:paraId="38235FCB" w14:textId="77777777" w:rsidR="006F1CFE" w:rsidRDefault="00C62C3C">
      <w:pPr>
        <w:spacing w:after="0" w:line="360" w:lineRule="auto"/>
        <w:ind w:firstLine="709"/>
        <w:jc w:val="both"/>
      </w:pPr>
      <w:r>
        <w:rPr>
          <w:rFonts w:eastAsia="Times New Roman" w:hAnsi="Times New Roman" w:cs="Times New Roman"/>
          <w:color w:val="000000"/>
        </w:rPr>
        <w:lastRenderedPageBreak/>
        <w:t xml:space="preserve">ş) </w:t>
      </w:r>
      <w:r>
        <w:rPr>
          <w:rFonts w:eastAsia="Times New Roman" w:hAnsi="Times New Roman" w:cs="Times New Roman"/>
          <w:b/>
          <w:color w:val="000000"/>
        </w:rPr>
        <w:t>Fikir Ürünü:</w:t>
      </w:r>
      <w:r>
        <w:rPr>
          <w:rFonts w:eastAsia="Times New Roman" w:hAnsi="Times New Roman" w:cs="Times New Roman"/>
          <w:color w:val="000000"/>
        </w:rPr>
        <w:t xml:space="preserve"> Buluş, tasarım, marka, yazılım, veri tabanı, teknik çizim, öğretim materyali, rapor, prototip, algoritma, yöntem, teknik bilgi, know-how, ticari sır ve benzeri fikrî emeğe dayalı her türlü ürünü,</w:t>
      </w:r>
    </w:p>
    <w:p w14:paraId="401ED03A" w14:textId="77777777" w:rsidR="006F1CFE" w:rsidRDefault="00C62C3C">
      <w:pPr>
        <w:spacing w:after="0" w:line="360" w:lineRule="auto"/>
        <w:ind w:firstLine="709"/>
        <w:jc w:val="both"/>
      </w:pPr>
      <w:r>
        <w:rPr>
          <w:rFonts w:eastAsia="Times New Roman" w:hAnsi="Times New Roman" w:cs="Times New Roman"/>
          <w:color w:val="000000"/>
        </w:rPr>
        <w:t xml:space="preserve">t) </w:t>
      </w:r>
      <w:r>
        <w:rPr>
          <w:rFonts w:eastAsia="Times New Roman" w:hAnsi="Times New Roman" w:cs="Times New Roman"/>
          <w:b/>
          <w:color w:val="000000"/>
        </w:rPr>
        <w:t>Telif Konusu Eser:</w:t>
      </w:r>
      <w:r>
        <w:rPr>
          <w:rFonts w:eastAsia="Times New Roman" w:hAnsi="Times New Roman" w:cs="Times New Roman"/>
          <w:color w:val="000000"/>
        </w:rPr>
        <w:t xml:space="preserve"> 5846 sayılı Fikir ve Sanat Eserleri Kanunu kapsamında eser niteliği taşıyan bilgisayar programı, veri tabanı, rapor, makale, sunum, görsel, eğitim içeriği, teknik doküman ve benzeri ürünleri,</w:t>
      </w:r>
    </w:p>
    <w:p w14:paraId="792726F8" w14:textId="77777777" w:rsidR="006F1CFE" w:rsidRDefault="00C62C3C">
      <w:pPr>
        <w:spacing w:after="0" w:line="360" w:lineRule="auto"/>
        <w:ind w:firstLine="709"/>
        <w:jc w:val="both"/>
      </w:pPr>
      <w:r>
        <w:rPr>
          <w:rFonts w:eastAsia="Times New Roman" w:hAnsi="Times New Roman" w:cs="Times New Roman"/>
          <w:color w:val="000000"/>
        </w:rPr>
        <w:t xml:space="preserve">u) </w:t>
      </w:r>
      <w:r>
        <w:rPr>
          <w:rFonts w:eastAsia="Times New Roman" w:hAnsi="Times New Roman" w:cs="Times New Roman"/>
          <w:b/>
          <w:color w:val="000000"/>
        </w:rPr>
        <w:t>Teknik Bilgi / Know-how:</w:t>
      </w:r>
      <w:r>
        <w:rPr>
          <w:rFonts w:eastAsia="Times New Roman" w:hAnsi="Times New Roman" w:cs="Times New Roman"/>
          <w:color w:val="000000"/>
        </w:rPr>
        <w:t xml:space="preserve"> Patent veya başka bir tescilli hakka konu olsun ya da olmasın, uygulamaya aktarılabilir, ekonomik değer taşıyan, gizli veya sınırlı erişime tabi teknik, bilimsel, üretimsel veya organizasyonel bilgiyi,</w:t>
      </w:r>
    </w:p>
    <w:p w14:paraId="6E0EF97E" w14:textId="77777777" w:rsidR="006F1CFE" w:rsidRDefault="00C62C3C">
      <w:pPr>
        <w:spacing w:after="0" w:line="360" w:lineRule="auto"/>
        <w:ind w:firstLine="709"/>
        <w:jc w:val="both"/>
      </w:pPr>
      <w:r>
        <w:rPr>
          <w:rFonts w:eastAsia="Times New Roman" w:hAnsi="Times New Roman" w:cs="Times New Roman"/>
          <w:color w:val="000000"/>
        </w:rPr>
        <w:t xml:space="preserve">ü) </w:t>
      </w:r>
      <w:r>
        <w:rPr>
          <w:rFonts w:eastAsia="Times New Roman" w:hAnsi="Times New Roman" w:cs="Times New Roman"/>
          <w:b/>
          <w:color w:val="000000"/>
        </w:rPr>
        <w:t>Ticari Sır:</w:t>
      </w:r>
      <w:r>
        <w:rPr>
          <w:rFonts w:eastAsia="Times New Roman" w:hAnsi="Times New Roman" w:cs="Times New Roman"/>
          <w:color w:val="000000"/>
        </w:rPr>
        <w:t xml:space="preserve"> Açıklanması hâlinde Üniversitenin, buluş sahibinin veya sözleşme taraflarının ekonomik, bilimsel veya rekabetçi menfaatlerini zedeleyebilecek; kamuya açık olmayan, gizli tutulmasında meşru menfaat bulunan her türlü teknik, mali, ticari ve stratejik bilgiyi,</w:t>
      </w:r>
    </w:p>
    <w:p w14:paraId="4F864B49" w14:textId="77777777" w:rsidR="006F1CFE" w:rsidRDefault="00C62C3C">
      <w:pPr>
        <w:spacing w:after="0" w:line="360" w:lineRule="auto"/>
        <w:ind w:firstLine="709"/>
        <w:jc w:val="both"/>
      </w:pPr>
      <w:r>
        <w:rPr>
          <w:rFonts w:eastAsia="Times New Roman" w:hAnsi="Times New Roman" w:cs="Times New Roman"/>
          <w:color w:val="000000"/>
        </w:rPr>
        <w:t xml:space="preserve">v) </w:t>
      </w:r>
      <w:r>
        <w:rPr>
          <w:rFonts w:eastAsia="Times New Roman" w:hAnsi="Times New Roman" w:cs="Times New Roman"/>
          <w:b/>
          <w:color w:val="000000"/>
        </w:rPr>
        <w:t>Gizli Bilgi:</w:t>
      </w:r>
      <w:r>
        <w:rPr>
          <w:rFonts w:eastAsia="Times New Roman" w:hAnsi="Times New Roman" w:cs="Times New Roman"/>
          <w:color w:val="000000"/>
        </w:rPr>
        <w:t xml:space="preserve"> Buluş, fikir ürünü, proje, başvuru, ticarileştirme, lisanslama, sözleşme, maliyet, gelir, teknik veri, prototip, çizim, yazılım kodu, laboratuvar çıktısı, deney sonucu ve benzeri açıklanmamış bilgilerin tamamını,</w:t>
      </w:r>
    </w:p>
    <w:p w14:paraId="6E031ABD" w14:textId="77777777" w:rsidR="006F1CFE" w:rsidRDefault="00C62C3C">
      <w:pPr>
        <w:spacing w:after="0" w:line="360" w:lineRule="auto"/>
        <w:ind w:firstLine="709"/>
        <w:jc w:val="both"/>
      </w:pPr>
      <w:r>
        <w:rPr>
          <w:rFonts w:eastAsia="Times New Roman" w:hAnsi="Times New Roman" w:cs="Times New Roman"/>
          <w:color w:val="000000"/>
        </w:rPr>
        <w:t xml:space="preserve">y) </w:t>
      </w:r>
      <w:r>
        <w:rPr>
          <w:rFonts w:eastAsia="Times New Roman" w:hAnsi="Times New Roman" w:cs="Times New Roman"/>
          <w:b/>
          <w:color w:val="000000"/>
        </w:rPr>
        <w:t>Ar-Ge:</w:t>
      </w:r>
      <w:r>
        <w:rPr>
          <w:rFonts w:eastAsia="Times New Roman" w:hAnsi="Times New Roman" w:cs="Times New Roman"/>
          <w:color w:val="000000"/>
        </w:rPr>
        <w:t xml:space="preserve"> Bilimsel ve teknolojik bilgi birikimini artırmaya, yeni ürün, süreç, yöntem veya hizmet geliştirmeye ya da mevcut olanları iyileştirmeye yönelik sistematik araştırma ve geliştirme faaliyetlerini,</w:t>
      </w:r>
    </w:p>
    <w:p w14:paraId="0825C218" w14:textId="77777777" w:rsidR="006F1CFE" w:rsidRDefault="00C62C3C">
      <w:pPr>
        <w:spacing w:after="0" w:line="360" w:lineRule="auto"/>
        <w:ind w:firstLine="709"/>
        <w:jc w:val="both"/>
      </w:pPr>
      <w:r>
        <w:rPr>
          <w:rFonts w:eastAsia="Times New Roman" w:hAnsi="Times New Roman" w:cs="Times New Roman"/>
          <w:color w:val="000000"/>
        </w:rPr>
        <w:t xml:space="preserve">z) </w:t>
      </w:r>
      <w:r>
        <w:rPr>
          <w:rFonts w:eastAsia="Times New Roman" w:hAnsi="Times New Roman" w:cs="Times New Roman"/>
          <w:b/>
          <w:color w:val="000000"/>
        </w:rPr>
        <w:t>Proje:</w:t>
      </w:r>
      <w:r>
        <w:rPr>
          <w:rFonts w:eastAsia="Times New Roman" w:hAnsi="Times New Roman" w:cs="Times New Roman"/>
          <w:color w:val="000000"/>
        </w:rPr>
        <w:t xml:space="preserve"> Üniversite içinde veya dışında fonlanan ya da desteklenen, belirli bir bütçe, süre, hedef ve iş planı çerçevesinde yürütülen bilimsel araştırma, geliştirme, yenilik, tasarım veya uygulama çalışmalarını,</w:t>
      </w:r>
    </w:p>
    <w:p w14:paraId="2B93C8E5" w14:textId="77777777" w:rsidR="006F1CFE" w:rsidRDefault="00C62C3C">
      <w:pPr>
        <w:spacing w:after="0" w:line="360" w:lineRule="auto"/>
        <w:ind w:firstLine="709"/>
        <w:jc w:val="both"/>
      </w:pPr>
      <w:r>
        <w:rPr>
          <w:rFonts w:eastAsia="Times New Roman" w:hAnsi="Times New Roman" w:cs="Times New Roman"/>
          <w:color w:val="000000"/>
        </w:rPr>
        <w:t xml:space="preserve">aa) </w:t>
      </w:r>
      <w:r>
        <w:rPr>
          <w:rFonts w:eastAsia="Times New Roman" w:hAnsi="Times New Roman" w:cs="Times New Roman"/>
          <w:b/>
          <w:color w:val="000000"/>
        </w:rPr>
        <w:t>Kamu Destekli Proje:</w:t>
      </w:r>
      <w:r>
        <w:rPr>
          <w:rFonts w:eastAsia="Times New Roman" w:hAnsi="Times New Roman" w:cs="Times New Roman"/>
          <w:color w:val="000000"/>
        </w:rPr>
        <w:t xml:space="preserve"> Kamu kurum ve kuruluşları, kamu kaynaklı fon mekanizmaları veya uluslararası kamu destek programları tarafından desteklenen projeleri,</w:t>
      </w:r>
    </w:p>
    <w:p w14:paraId="5F8EB92E" w14:textId="77777777" w:rsidR="006F1CFE" w:rsidRDefault="00C62C3C">
      <w:pPr>
        <w:spacing w:after="0" w:line="360" w:lineRule="auto"/>
        <w:ind w:firstLine="709"/>
        <w:jc w:val="both"/>
      </w:pPr>
      <w:r>
        <w:rPr>
          <w:rFonts w:eastAsia="Times New Roman" w:hAnsi="Times New Roman" w:cs="Times New Roman"/>
          <w:color w:val="000000"/>
        </w:rPr>
        <w:t xml:space="preserve">bb) </w:t>
      </w:r>
      <w:r>
        <w:rPr>
          <w:rFonts w:eastAsia="Times New Roman" w:hAnsi="Times New Roman" w:cs="Times New Roman"/>
          <w:b/>
          <w:color w:val="000000"/>
        </w:rPr>
        <w:t>Harici Destekli Proje:</w:t>
      </w:r>
      <w:r>
        <w:rPr>
          <w:rFonts w:eastAsia="Times New Roman" w:hAnsi="Times New Roman" w:cs="Times New Roman"/>
          <w:color w:val="000000"/>
        </w:rPr>
        <w:t xml:space="preserve"> Kamu dışındaki gerçek veya tüzel kişiler, şirketler, vakıflar, dernekler veya diğer kuruluşlar tarafından finanse edilen ya da ortak yürütülen projeleri,</w:t>
      </w:r>
    </w:p>
    <w:p w14:paraId="0162F833" w14:textId="77777777" w:rsidR="006F1CFE" w:rsidRDefault="00C62C3C">
      <w:pPr>
        <w:spacing w:after="0" w:line="360" w:lineRule="auto"/>
        <w:ind w:firstLine="709"/>
        <w:jc w:val="both"/>
      </w:pPr>
      <w:r>
        <w:rPr>
          <w:rFonts w:eastAsia="Times New Roman" w:hAnsi="Times New Roman" w:cs="Times New Roman"/>
          <w:color w:val="000000"/>
        </w:rPr>
        <w:t xml:space="preserve">cc) </w:t>
      </w:r>
      <w:r>
        <w:rPr>
          <w:rFonts w:eastAsia="Times New Roman" w:hAnsi="Times New Roman" w:cs="Times New Roman"/>
          <w:b/>
          <w:color w:val="000000"/>
        </w:rPr>
        <w:t>Üniversite Kaynağı:</w:t>
      </w:r>
      <w:r>
        <w:rPr>
          <w:rFonts w:eastAsia="Times New Roman" w:hAnsi="Times New Roman" w:cs="Times New Roman"/>
          <w:color w:val="000000"/>
        </w:rPr>
        <w:t xml:space="preserve"> Üniversiteye ait veya Üniversite tarafından tahsis edilmiş her türlü laboratuvar, cihaz, ekipman, sarf malzemesi, bina, altyapı, veri seti, yazılım, bütçe, proje fonu, insan kaynağı, danışmanlık, idari destek ve kurumsal bilgi birikimini,</w:t>
      </w:r>
    </w:p>
    <w:p w14:paraId="4CD871E0" w14:textId="77777777" w:rsidR="006F1CFE" w:rsidRDefault="00C62C3C">
      <w:pPr>
        <w:spacing w:after="0" w:line="360" w:lineRule="auto"/>
        <w:ind w:firstLine="709"/>
        <w:jc w:val="both"/>
      </w:pPr>
      <w:r>
        <w:rPr>
          <w:rFonts w:eastAsia="Times New Roman" w:hAnsi="Times New Roman" w:cs="Times New Roman"/>
          <w:color w:val="000000"/>
        </w:rPr>
        <w:t xml:space="preserve">çç) </w:t>
      </w:r>
      <w:r>
        <w:rPr>
          <w:rFonts w:eastAsia="Times New Roman" w:hAnsi="Times New Roman" w:cs="Times New Roman"/>
          <w:b/>
          <w:color w:val="000000"/>
        </w:rPr>
        <w:t>Ticarileştirme:</w:t>
      </w:r>
      <w:r>
        <w:rPr>
          <w:rFonts w:eastAsia="Times New Roman" w:hAnsi="Times New Roman" w:cs="Times New Roman"/>
          <w:color w:val="000000"/>
        </w:rPr>
        <w:t xml:space="preserve"> Fikri ve sınai mülkiyet haklarının lisans, alt lisans, devir, ortak girişim, spin-off şirket, kuluçka, üretim işbirliği, know-how transferi veya diğer hukuki ve ticari yöntemlerle ekonomik değere dönüştürülmesini,</w:t>
      </w:r>
    </w:p>
    <w:p w14:paraId="269584CE" w14:textId="77777777" w:rsidR="006F1CFE" w:rsidRDefault="00C62C3C">
      <w:pPr>
        <w:spacing w:after="0" w:line="360" w:lineRule="auto"/>
        <w:ind w:firstLine="709"/>
        <w:jc w:val="both"/>
      </w:pPr>
      <w:r>
        <w:rPr>
          <w:rFonts w:eastAsia="Times New Roman" w:hAnsi="Times New Roman" w:cs="Times New Roman"/>
          <w:color w:val="000000"/>
        </w:rPr>
        <w:t xml:space="preserve">dd) </w:t>
      </w:r>
      <w:r>
        <w:rPr>
          <w:rFonts w:eastAsia="Times New Roman" w:hAnsi="Times New Roman" w:cs="Times New Roman"/>
          <w:b/>
          <w:color w:val="000000"/>
        </w:rPr>
        <w:t>Lisans:</w:t>
      </w:r>
      <w:r>
        <w:rPr>
          <w:rFonts w:eastAsia="Times New Roman" w:hAnsi="Times New Roman" w:cs="Times New Roman"/>
          <w:color w:val="000000"/>
        </w:rPr>
        <w:t xml:space="preserve"> Fikri veya sınai mülkiyet hakkının kullanım yetkisinin belirli süre, yer, konu ve şartlarla üçüncü kişiye bırakılmasını,</w:t>
      </w:r>
    </w:p>
    <w:p w14:paraId="51149D64" w14:textId="77777777" w:rsidR="006F1CFE" w:rsidRDefault="00C62C3C">
      <w:pPr>
        <w:spacing w:after="0" w:line="360" w:lineRule="auto"/>
        <w:ind w:firstLine="709"/>
        <w:jc w:val="both"/>
      </w:pPr>
      <w:r>
        <w:rPr>
          <w:rFonts w:eastAsia="Times New Roman" w:hAnsi="Times New Roman" w:cs="Times New Roman"/>
          <w:color w:val="000000"/>
        </w:rPr>
        <w:t xml:space="preserve">ee) </w:t>
      </w:r>
      <w:r>
        <w:rPr>
          <w:rFonts w:eastAsia="Times New Roman" w:hAnsi="Times New Roman" w:cs="Times New Roman"/>
          <w:b/>
          <w:color w:val="000000"/>
        </w:rPr>
        <w:t>Devir:</w:t>
      </w:r>
      <w:r>
        <w:rPr>
          <w:rFonts w:eastAsia="Times New Roman" w:hAnsi="Times New Roman" w:cs="Times New Roman"/>
          <w:color w:val="000000"/>
        </w:rPr>
        <w:t xml:space="preserve"> Fikri veya sınai mülkiyet hakkına ilişkin sahipliğin tamamen başka bir gerçek veya tüzel kişiye geçirilmesini,</w:t>
      </w:r>
    </w:p>
    <w:p w14:paraId="1EE6D4E8" w14:textId="77777777" w:rsidR="006F1CFE" w:rsidRDefault="00C62C3C">
      <w:pPr>
        <w:spacing w:after="0" w:line="360" w:lineRule="auto"/>
        <w:ind w:firstLine="709"/>
        <w:jc w:val="both"/>
      </w:pPr>
      <w:r>
        <w:rPr>
          <w:rFonts w:eastAsia="Times New Roman" w:hAnsi="Times New Roman" w:cs="Times New Roman"/>
          <w:color w:val="000000"/>
        </w:rPr>
        <w:t xml:space="preserve">ff) </w:t>
      </w:r>
      <w:r>
        <w:rPr>
          <w:rFonts w:eastAsia="Times New Roman" w:hAnsi="Times New Roman" w:cs="Times New Roman"/>
          <w:b/>
          <w:color w:val="000000"/>
        </w:rPr>
        <w:t>Spin-off Şirket:</w:t>
      </w:r>
      <w:r>
        <w:rPr>
          <w:rFonts w:eastAsia="Times New Roman" w:hAnsi="Times New Roman" w:cs="Times New Roman"/>
          <w:color w:val="000000"/>
        </w:rPr>
        <w:t xml:space="preserve"> Üniversitede geliştirilen bilgi, teknoloji, buluş veya diğer fikir ürünlerinin ticarileştirilmesi amacıyla kurulan ve Üniversite mensuplarının kurucu, ortak veya yönetici olarak yer alabildiği şirketi,</w:t>
      </w:r>
    </w:p>
    <w:p w14:paraId="18827803" w14:textId="77777777" w:rsidR="006F1CFE" w:rsidRDefault="00C62C3C">
      <w:pPr>
        <w:spacing w:after="0" w:line="360" w:lineRule="auto"/>
        <w:ind w:firstLine="709"/>
        <w:jc w:val="both"/>
      </w:pPr>
      <w:r>
        <w:rPr>
          <w:rFonts w:eastAsia="Times New Roman" w:hAnsi="Times New Roman" w:cs="Times New Roman"/>
          <w:color w:val="000000"/>
        </w:rPr>
        <w:lastRenderedPageBreak/>
        <w:t xml:space="preserve">gg) </w:t>
      </w:r>
      <w:r>
        <w:rPr>
          <w:rFonts w:eastAsia="Times New Roman" w:hAnsi="Times New Roman" w:cs="Times New Roman"/>
          <w:b/>
          <w:color w:val="000000"/>
        </w:rPr>
        <w:t>Net Gelir:</w:t>
      </w:r>
      <w:r>
        <w:rPr>
          <w:rFonts w:eastAsia="Times New Roman" w:hAnsi="Times New Roman" w:cs="Times New Roman"/>
          <w:color w:val="000000"/>
        </w:rPr>
        <w:t xml:space="preserve"> Ticarileştirme sonucunda fiilen tahsil edilen tutardan; başvuru, araştırma, inceleme, vekillik, danışmanlık, çeviri, doğrulama, validasyon, tescil, koruma, yıllık ücret, dava, icra, tahsilat, vergi, harç, pazarlama ve benzeri doğrudan giderler düşüldükten sonra kalan tutarı,</w:t>
      </w:r>
    </w:p>
    <w:p w14:paraId="6042D99D" w14:textId="77777777" w:rsidR="006F1CFE" w:rsidRDefault="00C62C3C">
      <w:pPr>
        <w:spacing w:after="0" w:line="360" w:lineRule="auto"/>
        <w:ind w:firstLine="709"/>
        <w:jc w:val="both"/>
      </w:pPr>
      <w:r>
        <w:rPr>
          <w:rFonts w:eastAsia="Times New Roman" w:hAnsi="Times New Roman" w:cs="Times New Roman"/>
          <w:color w:val="000000"/>
        </w:rPr>
        <w:t xml:space="preserve">ğğ) </w:t>
      </w:r>
      <w:r>
        <w:rPr>
          <w:rFonts w:eastAsia="Times New Roman" w:hAnsi="Times New Roman" w:cs="Times New Roman"/>
          <w:b/>
          <w:color w:val="000000"/>
        </w:rPr>
        <w:t>Çıkar Çatışması:</w:t>
      </w:r>
      <w:r>
        <w:rPr>
          <w:rFonts w:eastAsia="Times New Roman" w:hAnsi="Times New Roman" w:cs="Times New Roman"/>
          <w:color w:val="000000"/>
        </w:rPr>
        <w:t xml:space="preserve"> Bir kişinin, bu Yönerge kapsamındaki bir başvuru, değerlendirme, karar veya sözleşme sürecinde görevini tarafsız biçimde yürütmesini etkileyebilecek kişisel, akademik, idari, ailevi veya mali menfaat ilişkisinin bulunmasını,</w:t>
      </w:r>
    </w:p>
    <w:p w14:paraId="7FA343A8" w14:textId="77777777" w:rsidR="006F1CFE" w:rsidRDefault="00C62C3C">
      <w:pPr>
        <w:spacing w:after="0" w:line="360" w:lineRule="auto"/>
        <w:ind w:firstLine="709"/>
        <w:jc w:val="both"/>
      </w:pPr>
      <w:r>
        <w:rPr>
          <w:rFonts w:eastAsia="Times New Roman" w:hAnsi="Times New Roman" w:cs="Times New Roman"/>
          <w:color w:val="000000"/>
        </w:rPr>
        <w:t xml:space="preserve">hh) </w:t>
      </w:r>
      <w:r>
        <w:rPr>
          <w:rFonts w:eastAsia="Times New Roman" w:hAnsi="Times New Roman" w:cs="Times New Roman"/>
          <w:b/>
          <w:color w:val="000000"/>
        </w:rPr>
        <w:t>Gizlilik Taahhüdü:</w:t>
      </w:r>
      <w:r>
        <w:rPr>
          <w:rFonts w:eastAsia="Times New Roman" w:hAnsi="Times New Roman" w:cs="Times New Roman"/>
          <w:color w:val="000000"/>
        </w:rPr>
        <w:t xml:space="preserve"> Bu Yönerge kapsamındaki gizli bilgilerin korunması amacıyla imzalanan yazılı yükümlülük metnini,</w:t>
      </w:r>
    </w:p>
    <w:p w14:paraId="35678C40" w14:textId="77777777" w:rsidR="006F1CFE" w:rsidRDefault="00C62C3C">
      <w:pPr>
        <w:spacing w:after="0" w:line="360" w:lineRule="auto"/>
        <w:ind w:firstLine="709"/>
        <w:jc w:val="both"/>
      </w:pPr>
      <w:r>
        <w:rPr>
          <w:rFonts w:eastAsia="Times New Roman" w:hAnsi="Times New Roman" w:cs="Times New Roman"/>
          <w:color w:val="000000"/>
        </w:rPr>
        <w:t xml:space="preserve">ıı) </w:t>
      </w:r>
      <w:r>
        <w:rPr>
          <w:rFonts w:eastAsia="Times New Roman" w:hAnsi="Times New Roman" w:cs="Times New Roman"/>
          <w:b/>
          <w:color w:val="000000"/>
        </w:rPr>
        <w:t>Feragat:</w:t>
      </w:r>
      <w:r>
        <w:rPr>
          <w:rFonts w:eastAsia="Times New Roman" w:hAnsi="Times New Roman" w:cs="Times New Roman"/>
          <w:color w:val="000000"/>
        </w:rPr>
        <w:t xml:space="preserve"> Üniversitenin, ilgili mevzuat ve sözleşme hükümleri saklı kalmak kaydıyla, hak sahipliği talebinden veya sahip olduğu fikri ya da sınai haktan tamamen veya kısmen vazgeçmesini,</w:t>
      </w:r>
    </w:p>
    <w:p w14:paraId="607C55C7" w14:textId="77777777" w:rsidR="006F1CFE" w:rsidRDefault="00C62C3C">
      <w:pPr>
        <w:spacing w:after="0" w:line="360" w:lineRule="auto"/>
        <w:ind w:firstLine="709"/>
        <w:jc w:val="both"/>
      </w:pPr>
      <w:r>
        <w:rPr>
          <w:rFonts w:eastAsia="Times New Roman" w:hAnsi="Times New Roman" w:cs="Times New Roman"/>
          <w:color w:val="000000"/>
        </w:rPr>
        <w:t xml:space="preserve">ii) </w:t>
      </w:r>
      <w:r>
        <w:rPr>
          <w:rFonts w:eastAsia="Times New Roman" w:hAnsi="Times New Roman" w:cs="Times New Roman"/>
          <w:b/>
          <w:color w:val="000000"/>
        </w:rPr>
        <w:t>Yönerge:</w:t>
      </w:r>
      <w:r>
        <w:rPr>
          <w:rFonts w:eastAsia="Times New Roman" w:hAnsi="Times New Roman" w:cs="Times New Roman"/>
          <w:color w:val="000000"/>
        </w:rPr>
        <w:t xml:space="preserve"> Ağrı İbrahim Çeçen Üniversitesi Fikri ve Sınai Mülkiyet Hakları Yönergesini,</w:t>
      </w:r>
    </w:p>
    <w:p w14:paraId="1CF3AE07" w14:textId="77777777" w:rsidR="006F1CFE" w:rsidRDefault="00C62C3C">
      <w:pPr>
        <w:spacing w:after="0" w:line="360" w:lineRule="auto"/>
        <w:ind w:firstLine="709"/>
        <w:jc w:val="both"/>
      </w:pPr>
      <w:r>
        <w:rPr>
          <w:rFonts w:eastAsia="Times New Roman" w:hAnsi="Times New Roman" w:cs="Times New Roman"/>
          <w:color w:val="000000"/>
        </w:rPr>
        <w:t>ifade eder.</w:t>
      </w:r>
    </w:p>
    <w:p w14:paraId="4B680A40" w14:textId="77777777" w:rsidR="006F1CFE" w:rsidRDefault="00C62C3C">
      <w:pPr>
        <w:spacing w:after="105" w:line="360" w:lineRule="auto"/>
        <w:jc w:val="center"/>
      </w:pPr>
      <w:bookmarkStart w:id="7" w:name="i̇ki̇nci̇_bölüm"/>
      <w:r>
        <w:rPr>
          <w:rFonts w:eastAsia="Times New Roman" w:hAnsi="Times New Roman" w:cs="Times New Roman"/>
          <w:b/>
          <w:color w:val="000000"/>
        </w:rPr>
        <w:t>İKİNCİ BÖLÜM</w:t>
      </w:r>
      <w:bookmarkEnd w:id="7"/>
    </w:p>
    <w:p w14:paraId="715E0C91" w14:textId="77777777" w:rsidR="006F1CFE" w:rsidRDefault="00C62C3C">
      <w:pPr>
        <w:spacing w:after="105" w:line="360" w:lineRule="auto"/>
        <w:jc w:val="center"/>
      </w:pPr>
      <w:bookmarkStart w:id="8" w:name="temel_i̇lkeler_ve_kurumsal_yapı"/>
      <w:r>
        <w:rPr>
          <w:rFonts w:eastAsia="Times New Roman" w:hAnsi="Times New Roman" w:cs="Times New Roman"/>
          <w:b/>
          <w:color w:val="000000"/>
        </w:rPr>
        <w:t>Temel İlkeler ve Kurumsal Yapı</w:t>
      </w:r>
      <w:bookmarkEnd w:id="8"/>
    </w:p>
    <w:p w14:paraId="40151647" w14:textId="77777777" w:rsidR="006F1CFE" w:rsidRDefault="00C62C3C">
      <w:pPr>
        <w:spacing w:after="105" w:line="360" w:lineRule="auto"/>
        <w:jc w:val="center"/>
      </w:pPr>
      <w:bookmarkStart w:id="9" w:name="temel_ilkeler"/>
      <w:r>
        <w:rPr>
          <w:rFonts w:eastAsia="Times New Roman" w:hAnsi="Times New Roman" w:cs="Times New Roman"/>
          <w:b/>
          <w:color w:val="000000"/>
        </w:rPr>
        <w:t>Temel ilkeler</w:t>
      </w:r>
      <w:bookmarkEnd w:id="9"/>
    </w:p>
    <w:p w14:paraId="04048886" w14:textId="656DD2D4" w:rsidR="006F1CFE" w:rsidRDefault="00C62C3C">
      <w:pPr>
        <w:spacing w:after="0" w:line="360" w:lineRule="auto"/>
        <w:ind w:firstLine="709"/>
        <w:jc w:val="both"/>
      </w:pPr>
      <w:r>
        <w:rPr>
          <w:rFonts w:eastAsia="Times New Roman" w:hAnsi="Times New Roman" w:cs="Times New Roman"/>
          <w:b/>
          <w:color w:val="000000"/>
        </w:rPr>
        <w:t>Madde 5</w:t>
      </w:r>
      <w:r>
        <w:rPr>
          <w:rFonts w:eastAsia="Times New Roman" w:hAnsi="Times New Roman" w:cs="Times New Roman"/>
          <w:color w:val="000000"/>
        </w:rPr>
        <w:t xml:space="preserve"> – (1) Üniversitede gerçekleştirilen hizmet buluşları ve diğer fikir ürünleri hakkında bu Yönerge hükümleri, ilgili emredici mevzuat hükümleri saklı kalmak kaydıyla uygulanır. </w:t>
      </w:r>
    </w:p>
    <w:p w14:paraId="3CF63148" w14:textId="413E0B19" w:rsidR="006F1CFE" w:rsidRDefault="00C62C3C">
      <w:pPr>
        <w:spacing w:after="0" w:line="360" w:lineRule="auto"/>
        <w:ind w:firstLine="709"/>
        <w:jc w:val="both"/>
      </w:pPr>
      <w:r>
        <w:rPr>
          <w:rFonts w:eastAsia="Times New Roman" w:hAnsi="Times New Roman" w:cs="Times New Roman"/>
          <w:color w:val="000000"/>
        </w:rPr>
        <w:t xml:space="preserve">(2) Üniversite; buluşların ve diğer fikir ürünlerinin korunması, değerlendirilmesi ve ticarileştirilmesi süreçlerinde kamu yararını, akademik özgürlüğü, araştırmacı emeğini, kurumsal sürdürülebilirliği ve hukuki güvenliği birlikte gözetir. </w:t>
      </w:r>
    </w:p>
    <w:p w14:paraId="4BCD5E43" w14:textId="043CA723" w:rsidR="006F1CFE" w:rsidRDefault="00C62C3C">
      <w:pPr>
        <w:spacing w:after="0" w:line="360" w:lineRule="auto"/>
        <w:ind w:firstLine="709"/>
        <w:jc w:val="both"/>
      </w:pPr>
      <w:r>
        <w:rPr>
          <w:rFonts w:eastAsia="Times New Roman" w:hAnsi="Times New Roman" w:cs="Times New Roman"/>
          <w:color w:val="000000"/>
        </w:rPr>
        <w:t xml:space="preserve">(3) Üniversite, fikri ve sınai mülkiyet süreçlerinde süreli işlem, gerekçeli karar, kayıt altına alma, gizlilik, ölçülülük ve çıkar çatışmasının önlenmesi ilkelerine uygun hareket eder. </w:t>
      </w:r>
    </w:p>
    <w:p w14:paraId="20A618A4" w14:textId="77777777" w:rsidR="006F1CFE" w:rsidRDefault="00C62C3C">
      <w:pPr>
        <w:spacing w:after="105" w:line="360" w:lineRule="auto"/>
        <w:jc w:val="center"/>
      </w:pPr>
      <w:bookmarkStart w:id="10" w:name="komisyonun_kuruluşu"/>
      <w:r>
        <w:rPr>
          <w:rFonts w:eastAsia="Times New Roman" w:hAnsi="Times New Roman" w:cs="Times New Roman"/>
          <w:b/>
          <w:color w:val="000000"/>
        </w:rPr>
        <w:t>Komisyonun kuruluşu</w:t>
      </w:r>
      <w:bookmarkEnd w:id="10"/>
    </w:p>
    <w:p w14:paraId="1F0C1F6D" w14:textId="25E49028" w:rsidR="006F1CFE" w:rsidRDefault="00C62C3C">
      <w:pPr>
        <w:spacing w:after="0" w:line="360" w:lineRule="auto"/>
        <w:ind w:firstLine="709"/>
        <w:jc w:val="both"/>
      </w:pPr>
      <w:r>
        <w:rPr>
          <w:rFonts w:eastAsia="Times New Roman" w:hAnsi="Times New Roman" w:cs="Times New Roman"/>
          <w:b/>
          <w:color w:val="000000"/>
        </w:rPr>
        <w:t>Madde 6</w:t>
      </w:r>
      <w:r>
        <w:rPr>
          <w:rFonts w:eastAsia="Times New Roman" w:hAnsi="Times New Roman" w:cs="Times New Roman"/>
          <w:color w:val="000000"/>
        </w:rPr>
        <w:t xml:space="preserve"> – (1) Üniversite bünyesinde, bu Yönerge kapsamındaki buluşların ve diğer fikir ürünlerinin değerlendirilmesi, korunması, yönetimi ve ticarileştirilmesine ilişkin süreçlerin yürütülmesi amacıyla Fikri ve Sınai Mülkiyet Hakları Komisyonu kurulur. </w:t>
      </w:r>
    </w:p>
    <w:p w14:paraId="2F1E55E4" w14:textId="4C7B08FA" w:rsidR="006F1CFE" w:rsidRDefault="00C62C3C">
      <w:pPr>
        <w:spacing w:after="0" w:line="360" w:lineRule="auto"/>
        <w:ind w:firstLine="709"/>
        <w:jc w:val="both"/>
      </w:pPr>
      <w:r>
        <w:rPr>
          <w:rFonts w:eastAsia="Times New Roman" w:hAnsi="Times New Roman" w:cs="Times New Roman"/>
          <w:color w:val="000000"/>
        </w:rPr>
        <w:t>(2) Komisyon; araştırma ve geliştirmeden sorumlu Rektör Yardımcısının başkanlığında, Hukuk Müşaviri veya görevlendireceği temsilci ile Rektör tarafından görevlendirilecek, fikri ve sınai mülkiyet, teknoloji transferi, Ar-Ge, girişimcilik veya ilgili alanlarda deneyim sahibi öğretim elemanları arasından seçilen üyelerden oluşur. Komisyonun üye sayısı beşten az yediden fazla olmamak üzere tek sayı olacak şekilde belirlenir. TTO Müdürü, Komisyonun sekreteryasını yürütür; toplantılara katılır ancak oy kullanama</w:t>
      </w:r>
      <w:r>
        <w:rPr>
          <w:rFonts w:eastAsia="Times New Roman" w:hAnsi="Times New Roman" w:cs="Times New Roman"/>
          <w:color w:val="000000"/>
        </w:rPr>
        <w:t xml:space="preserve">z. </w:t>
      </w:r>
    </w:p>
    <w:p w14:paraId="39D1D5A2" w14:textId="27142C5F" w:rsidR="006F1CFE" w:rsidRDefault="00C62C3C">
      <w:pPr>
        <w:spacing w:after="0" w:line="360" w:lineRule="auto"/>
        <w:ind w:firstLine="709"/>
        <w:jc w:val="both"/>
      </w:pPr>
      <w:r>
        <w:rPr>
          <w:rFonts w:eastAsia="Times New Roman" w:hAnsi="Times New Roman" w:cs="Times New Roman"/>
          <w:color w:val="000000"/>
        </w:rPr>
        <w:t xml:space="preserve">(3) Komisyon üyeleri üç yıl süreyle görevlendirilir. Süresi dolan üyeler yeniden görevlendirilebilir. Süresi dolmadan herhangi bir nedenle üyeliği sona eren kişinin yerine aynı usulle görevlendirme yapılır. </w:t>
      </w:r>
    </w:p>
    <w:p w14:paraId="41FD7E78" w14:textId="4BF71247" w:rsidR="006F1CFE" w:rsidRDefault="00C62C3C">
      <w:pPr>
        <w:spacing w:after="0" w:line="360" w:lineRule="auto"/>
        <w:ind w:firstLine="709"/>
        <w:jc w:val="both"/>
      </w:pPr>
      <w:r>
        <w:rPr>
          <w:rFonts w:eastAsia="Times New Roman" w:hAnsi="Times New Roman" w:cs="Times New Roman"/>
          <w:color w:val="000000"/>
        </w:rPr>
        <w:lastRenderedPageBreak/>
        <w:t xml:space="preserve">(4) Komisyon, üye tam sayısının salt çoğunluğu ile toplanır ve toplantıya katılanların çoğunluğu ile karar alır. Oyların eşitliği halinde Başkanın bulunduğu taraf çoğunluk sayılır. </w:t>
      </w:r>
    </w:p>
    <w:p w14:paraId="34E99A89" w14:textId="6084F87F" w:rsidR="006F1CFE" w:rsidRDefault="00C62C3C">
      <w:pPr>
        <w:spacing w:after="0" w:line="360" w:lineRule="auto"/>
        <w:ind w:firstLine="709"/>
        <w:jc w:val="both"/>
      </w:pPr>
      <w:r>
        <w:rPr>
          <w:rFonts w:eastAsia="Times New Roman" w:hAnsi="Times New Roman" w:cs="Times New Roman"/>
          <w:color w:val="000000"/>
        </w:rPr>
        <w:t xml:space="preserve">(5) Çıkar çatışması bulunan üye, ilgili dosyanın görüşülmesine katılamaz ve oy kullanamaz. Bu husus toplantı tutanağına yazılır. </w:t>
      </w:r>
    </w:p>
    <w:p w14:paraId="00DA448D" w14:textId="683DFDA5" w:rsidR="006F1CFE" w:rsidRDefault="00C62C3C">
      <w:pPr>
        <w:spacing w:after="0" w:line="360" w:lineRule="auto"/>
        <w:ind w:firstLine="709"/>
        <w:jc w:val="both"/>
      </w:pPr>
      <w:r>
        <w:rPr>
          <w:rFonts w:eastAsia="Times New Roman" w:hAnsi="Times New Roman" w:cs="Times New Roman"/>
          <w:color w:val="000000"/>
        </w:rPr>
        <w:t xml:space="preserve">(6) Komisyon, gerekli gördüğü hâllerde patent vekili, sektör uzmanı, mali müşavir, proje yürütücüsü veya diğer uzmanların görüşünü alabilir. </w:t>
      </w:r>
    </w:p>
    <w:p w14:paraId="50849356" w14:textId="77777777" w:rsidR="006F1CFE" w:rsidRDefault="00C62C3C">
      <w:pPr>
        <w:spacing w:after="105" w:line="360" w:lineRule="auto"/>
        <w:jc w:val="center"/>
      </w:pPr>
      <w:bookmarkStart w:id="11" w:name="komisyonun_görevleri"/>
      <w:r>
        <w:rPr>
          <w:rFonts w:eastAsia="Times New Roman" w:hAnsi="Times New Roman" w:cs="Times New Roman"/>
          <w:b/>
          <w:color w:val="000000"/>
        </w:rPr>
        <w:t>Komisyonun görevleri</w:t>
      </w:r>
      <w:bookmarkEnd w:id="11"/>
    </w:p>
    <w:p w14:paraId="09153A57" w14:textId="77777777" w:rsidR="006F1CFE" w:rsidRDefault="00C62C3C">
      <w:pPr>
        <w:spacing w:after="0" w:line="360" w:lineRule="auto"/>
        <w:ind w:firstLine="709"/>
        <w:jc w:val="both"/>
      </w:pPr>
      <w:r>
        <w:rPr>
          <w:rFonts w:eastAsia="Times New Roman" w:hAnsi="Times New Roman" w:cs="Times New Roman"/>
          <w:b/>
          <w:color w:val="000000"/>
        </w:rPr>
        <w:t>Madde 7</w:t>
      </w:r>
      <w:r>
        <w:rPr>
          <w:rFonts w:eastAsia="Times New Roman" w:hAnsi="Times New Roman" w:cs="Times New Roman"/>
          <w:color w:val="000000"/>
        </w:rPr>
        <w:t xml:space="preserve"> – (1) Komisyonun görevleri şunlardır:</w:t>
      </w:r>
    </w:p>
    <w:p w14:paraId="0E6BD05C"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a) Üniversitenin fikri ve sınai mülkiyet politikasına ilişkin öneri ve taslakları hazırlamak; bunları Rektörlük aracılığıyla Senatonun onayına sunmak,</w:t>
      </w:r>
    </w:p>
    <w:p w14:paraId="5925081A"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b) BBF ve eklerini incelemek, eksikliklerin tamamlatılmasını sağlamak ve değerlendirme sürecini yürütmek,</w:t>
      </w:r>
    </w:p>
    <w:p w14:paraId="7CB4AD80"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c) Bildirilen buluş veya diğer fikir ürününün hukuki niteliği hakkında değerlendirme yapmak,</w:t>
      </w:r>
    </w:p>
    <w:p w14:paraId="3A710275"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ç) Hizmet buluşu niteliğindeki buluşlar bakımından Üniversitenin hak sahipliği talebinde bulunup bulunmayacağı konusunda Rektörlüğe öneri sunmak,</w:t>
      </w:r>
    </w:p>
    <w:p w14:paraId="1C781F31"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d) Başvuru, tescil, koruma ve uluslararası genişleme stratejileri hakkında öneri geliştirmek,</w:t>
      </w:r>
    </w:p>
    <w:p w14:paraId="475168BA"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e) Ticarileştirme, lisans, devir, spin-off şirket veya diğer değerlendirme yöntemlerine ilişkin öneriler hazırlamak,</w:t>
      </w:r>
    </w:p>
    <w:p w14:paraId="192B7DD1"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f) Net gelir hesabı, katkı oranı ve gelir paylaşımı esaslarına ilişkin değerlendirme yapmak,</w:t>
      </w:r>
    </w:p>
    <w:p w14:paraId="34867106"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g) Gizli bilgi, ticari sır, yayın ertelemesi ve açıklama yönetimi hakkında karar önerileri oluşturmak,</w:t>
      </w:r>
    </w:p>
    <w:p w14:paraId="24AAD291" w14:textId="77777777" w:rsidR="006F1CFE" w:rsidRDefault="00C62C3C">
      <w:pPr>
        <w:numPr>
          <w:ilvl w:val="0"/>
          <w:numId w:val="1"/>
        </w:numPr>
        <w:spacing w:after="0" w:line="360" w:lineRule="auto"/>
        <w:ind w:firstLine="709"/>
        <w:jc w:val="both"/>
      </w:pPr>
      <w:r>
        <w:rPr>
          <w:rFonts w:eastAsia="Times New Roman" w:hAnsi="Times New Roman" w:cs="Times New Roman"/>
          <w:color w:val="000000"/>
        </w:rPr>
        <w:t>ğ) Hak ihlalleri hâlinde izlenecek idari ve hukuki süreçlere ilişkin öneriler geliştirmek,</w:t>
      </w:r>
    </w:p>
    <w:p w14:paraId="485CC0EB" w14:textId="2D389728" w:rsidR="006F1CFE" w:rsidRDefault="00C62C3C">
      <w:pPr>
        <w:numPr>
          <w:ilvl w:val="0"/>
          <w:numId w:val="1"/>
        </w:numPr>
        <w:spacing w:after="0" w:line="360" w:lineRule="auto"/>
        <w:ind w:firstLine="709"/>
        <w:jc w:val="both"/>
      </w:pPr>
      <w:r>
        <w:rPr>
          <w:rFonts w:eastAsia="Times New Roman" w:hAnsi="Times New Roman" w:cs="Times New Roman"/>
          <w:color w:val="000000"/>
        </w:rPr>
        <w:t xml:space="preserve">h) Bu Yönergenin uygulanmasına ilişkin standart form, sözleşme, gizlilik taahhüdü ve diğer belge örneklerini hazırlamak veya güncellemek. </w:t>
      </w:r>
    </w:p>
    <w:p w14:paraId="2961D2B6" w14:textId="77777777" w:rsidR="006F1CFE" w:rsidRDefault="00C62C3C">
      <w:pPr>
        <w:spacing w:after="105" w:line="360" w:lineRule="auto"/>
        <w:jc w:val="center"/>
      </w:pPr>
      <w:bookmarkStart w:id="12" w:name="üçüncü_bölüm"/>
      <w:r>
        <w:rPr>
          <w:rFonts w:eastAsia="Times New Roman" w:hAnsi="Times New Roman" w:cs="Times New Roman"/>
          <w:b/>
          <w:color w:val="000000"/>
        </w:rPr>
        <w:t>ÜÇÜNCÜ BÖLÜM</w:t>
      </w:r>
      <w:bookmarkEnd w:id="12"/>
    </w:p>
    <w:p w14:paraId="28DD53B4" w14:textId="77777777" w:rsidR="006F1CFE" w:rsidRDefault="00C62C3C">
      <w:pPr>
        <w:spacing w:after="105" w:line="360" w:lineRule="auto"/>
        <w:jc w:val="center"/>
      </w:pPr>
      <w:bookmarkStart w:id="13" w:name="bildirim_değerlendirme_ve_hak_sahipliği"/>
      <w:r>
        <w:rPr>
          <w:rFonts w:eastAsia="Times New Roman" w:hAnsi="Times New Roman" w:cs="Times New Roman"/>
          <w:b/>
          <w:color w:val="000000"/>
        </w:rPr>
        <w:t>Bildirim, Değerlendirme ve Hak Sahipliği</w:t>
      </w:r>
      <w:bookmarkEnd w:id="13"/>
    </w:p>
    <w:p w14:paraId="4DE0F416" w14:textId="77777777" w:rsidR="006F1CFE" w:rsidRDefault="00C62C3C">
      <w:pPr>
        <w:spacing w:after="105" w:line="360" w:lineRule="auto"/>
        <w:jc w:val="center"/>
      </w:pPr>
      <w:bookmarkStart w:id="14" w:name="bildirim_yükümlülüğü"/>
      <w:r>
        <w:rPr>
          <w:rFonts w:eastAsia="Times New Roman" w:hAnsi="Times New Roman" w:cs="Times New Roman"/>
          <w:b/>
          <w:color w:val="000000"/>
        </w:rPr>
        <w:t>Bildirim yükümlülüğü</w:t>
      </w:r>
      <w:bookmarkEnd w:id="14"/>
    </w:p>
    <w:p w14:paraId="4A00C5B6" w14:textId="6F0BA8CE" w:rsidR="006F1CFE" w:rsidRDefault="00C62C3C">
      <w:pPr>
        <w:spacing w:after="0" w:line="360" w:lineRule="auto"/>
        <w:ind w:firstLine="709"/>
        <w:jc w:val="both"/>
      </w:pPr>
      <w:r>
        <w:rPr>
          <w:rFonts w:eastAsia="Times New Roman" w:hAnsi="Times New Roman" w:cs="Times New Roman"/>
          <w:b/>
          <w:color w:val="000000"/>
        </w:rPr>
        <w:t>Madde 8</w:t>
      </w:r>
      <w:r>
        <w:rPr>
          <w:rFonts w:eastAsia="Times New Roman" w:hAnsi="Times New Roman" w:cs="Times New Roman"/>
          <w:color w:val="000000"/>
        </w:rPr>
        <w:t xml:space="preserve"> – (1) Üniversitede gerçekleştirilen veya Üniversite Kaynağı kullanılarak ortaya çıkarılan buluşlar ile ticarileştirme potansiyeli bulunan diğer fikir ürünleri, Buluş Sahibi tarafından buluşun tamamlandığı ya da ortaya çıktığının farkına varıldığı tarihten itibaren en geç otuz gün içinde yazılı olarak TTO’ya bildirilir. </w:t>
      </w:r>
    </w:p>
    <w:p w14:paraId="1AADA92B" w14:textId="2D57C76C" w:rsidR="006F1CFE" w:rsidRDefault="00C62C3C">
      <w:pPr>
        <w:spacing w:after="0" w:line="360" w:lineRule="auto"/>
        <w:ind w:firstLine="709"/>
        <w:jc w:val="both"/>
      </w:pPr>
      <w:r>
        <w:rPr>
          <w:rFonts w:eastAsia="Times New Roman" w:hAnsi="Times New Roman" w:cs="Times New Roman"/>
          <w:color w:val="000000"/>
        </w:rPr>
        <w:t xml:space="preserve">(2) Bildirim, BBF’nin eksiksiz şekilde doldurulması ve varsa teknik rapor, çizim, prototip bilgisi, laboratuvar kayıtları, sözleşme örnekleri, fon bilgileri, katkı oranı beyanı ve diğer destekleyici belgelerle birlikte yapılır. </w:t>
      </w:r>
    </w:p>
    <w:p w14:paraId="133F8621" w14:textId="1B8A32F5" w:rsidR="006F1CFE" w:rsidRDefault="00C62C3C">
      <w:pPr>
        <w:spacing w:after="0" w:line="360" w:lineRule="auto"/>
        <w:ind w:firstLine="709"/>
        <w:jc w:val="both"/>
      </w:pPr>
      <w:r>
        <w:rPr>
          <w:rFonts w:eastAsia="Times New Roman" w:hAnsi="Times New Roman" w:cs="Times New Roman"/>
          <w:color w:val="000000"/>
        </w:rPr>
        <w:lastRenderedPageBreak/>
        <w:t xml:space="preserve">(3) Ortak Buluş söz konusu ise bildirim tek dosya halinde yapılır. Buluş sahipleri katkı oranlarını yazılı olarak birlikte beyan eder. Katkı oranı konusunda anlaşma bulunmaması hâlinde Komisyon, teknik katkı düzeyini esas alarak gerekçeli öneri hazırlar. </w:t>
      </w:r>
    </w:p>
    <w:p w14:paraId="0709599D" w14:textId="1FD1A7BD" w:rsidR="006F1CFE" w:rsidRDefault="00C62C3C">
      <w:pPr>
        <w:spacing w:after="0" w:line="360" w:lineRule="auto"/>
        <w:ind w:firstLine="709"/>
        <w:jc w:val="both"/>
      </w:pPr>
      <w:r>
        <w:rPr>
          <w:rFonts w:eastAsia="Times New Roman" w:hAnsi="Times New Roman" w:cs="Times New Roman"/>
          <w:color w:val="000000"/>
        </w:rPr>
        <w:t xml:space="preserve">(4) TTO, bildirimin teslim alındığı tarihi kayıt altına alır ve başvuru sahibine alındı belgesi verir. Bu tarih, yasal ve idari sürelerin başlangıcında esas alınır. </w:t>
      </w:r>
    </w:p>
    <w:p w14:paraId="0CBF834D" w14:textId="491CC31E" w:rsidR="006F1CFE" w:rsidRDefault="00C62C3C">
      <w:pPr>
        <w:spacing w:after="0" w:line="360" w:lineRule="auto"/>
        <w:ind w:firstLine="709"/>
        <w:jc w:val="both"/>
      </w:pPr>
      <w:r>
        <w:rPr>
          <w:rFonts w:eastAsia="Times New Roman" w:hAnsi="Times New Roman" w:cs="Times New Roman"/>
          <w:color w:val="000000"/>
        </w:rPr>
        <w:t xml:space="preserve">(5) Eksik başvuru hâlinde eksiklikler yazılı olarak bildirilir ve başvuru sahibine on beş güne kadar tamamlama süresi verilir. Haklı neden bulunması hâlinde bu süre, başvuru sahibinin gerekçeli talebi üzerine TTO Müdürünün kararıyla bir defaya mahsus en fazla on beş gün daha uzatılabilir. Süresinde tamamlanmayan dosyalar, mevcut bilgi ve belgeler üzerinden değerlendirilir. </w:t>
      </w:r>
    </w:p>
    <w:p w14:paraId="2A1CDB58" w14:textId="77777777" w:rsidR="006F1CFE" w:rsidRDefault="00C62C3C">
      <w:pPr>
        <w:spacing w:after="105" w:line="360" w:lineRule="auto"/>
        <w:jc w:val="center"/>
      </w:pPr>
      <w:bookmarkStart w:id="15" w:name="gizlilik_ve_açıklama_yasağı"/>
      <w:r>
        <w:rPr>
          <w:rFonts w:eastAsia="Times New Roman" w:hAnsi="Times New Roman" w:cs="Times New Roman"/>
          <w:b/>
          <w:color w:val="000000"/>
        </w:rPr>
        <w:t>Gizlilik ve açıklama yasağı</w:t>
      </w:r>
      <w:bookmarkEnd w:id="15"/>
    </w:p>
    <w:p w14:paraId="3017858D" w14:textId="6F763E59" w:rsidR="006F1CFE" w:rsidRDefault="00C62C3C">
      <w:pPr>
        <w:spacing w:after="0" w:line="360" w:lineRule="auto"/>
        <w:ind w:firstLine="709"/>
        <w:jc w:val="both"/>
      </w:pPr>
      <w:r>
        <w:rPr>
          <w:rFonts w:eastAsia="Times New Roman" w:hAnsi="Times New Roman" w:cs="Times New Roman"/>
          <w:b/>
          <w:color w:val="000000"/>
        </w:rPr>
        <w:t>Madde 9</w:t>
      </w:r>
      <w:r>
        <w:rPr>
          <w:rFonts w:eastAsia="Times New Roman" w:hAnsi="Times New Roman" w:cs="Times New Roman"/>
          <w:color w:val="000000"/>
        </w:rPr>
        <w:t xml:space="preserve"> – (1) Buluş Sahibi ile buluş veya diğer fikir ürününe ilişkin Gizli Bilgiye erişen tüm kişiler, Üniversitenin hak sahipliği talebine ilişkin kararı verilinceye ve gerekli görülen Başvuru işlemleri tamamlanıncaya kadar, ilgili bilginin koruma şartlarını veya ticarileştirme değerini ortadan kaldırabilecek açıklamalarda bulunamaz. </w:t>
      </w:r>
    </w:p>
    <w:p w14:paraId="116B501C" w14:textId="2642BE1E" w:rsidR="006F1CFE" w:rsidRDefault="00C62C3C">
      <w:pPr>
        <w:spacing w:after="0" w:line="360" w:lineRule="auto"/>
        <w:ind w:firstLine="709"/>
        <w:jc w:val="both"/>
      </w:pPr>
      <w:r>
        <w:rPr>
          <w:rFonts w:eastAsia="Times New Roman" w:hAnsi="Times New Roman" w:cs="Times New Roman"/>
          <w:color w:val="000000"/>
        </w:rPr>
        <w:t xml:space="preserve">(2) Makale, tez, bildiri, poster, sunum, internet paylaşımı, teknik rapor dağıtımı, yazılım kodu paylaşımı, prototip gösterimi ve benzeri açıklamalar öncesinde TTO’nun görüşü alınır. Gerekli görülen hâllerde yayın veya açıklama, Başvuru yapılıncaya kadar ertelenebilir; bu süre altı ayı geçemez. Zorunlu hâllerde söz konusu süre, Rektör onayıyla bir kez daha en fazla altı ay uzatılabilir. Yayın ertelemesi kararı, Buluş Sahibine gerekçesiyle birlikte yazılı olarak bildirilir. </w:t>
      </w:r>
    </w:p>
    <w:p w14:paraId="5CED0C80" w14:textId="69843A05" w:rsidR="006F1CFE" w:rsidRDefault="00C62C3C">
      <w:pPr>
        <w:spacing w:after="0" w:line="360" w:lineRule="auto"/>
        <w:ind w:firstLine="709"/>
        <w:jc w:val="both"/>
      </w:pPr>
      <w:r>
        <w:rPr>
          <w:rFonts w:eastAsia="Times New Roman" w:hAnsi="Times New Roman" w:cs="Times New Roman"/>
          <w:color w:val="000000"/>
        </w:rPr>
        <w:t xml:space="preserve">(3) Gizlilik yükümlülüğü, görev veya ilişki sona erdikten sonra da gizli bilginin kamuya açıklanmadığı süre boyunca devam eder. </w:t>
      </w:r>
    </w:p>
    <w:p w14:paraId="0D056B89" w14:textId="77777777" w:rsidR="006F1CFE" w:rsidRDefault="00C62C3C">
      <w:pPr>
        <w:spacing w:after="105" w:line="360" w:lineRule="auto"/>
        <w:jc w:val="center"/>
      </w:pPr>
      <w:bookmarkStart w:id="16" w:name="değerlendirme_süreci"/>
      <w:r>
        <w:rPr>
          <w:rFonts w:eastAsia="Times New Roman" w:hAnsi="Times New Roman" w:cs="Times New Roman"/>
          <w:b/>
          <w:color w:val="000000"/>
        </w:rPr>
        <w:t>Değerlendirme süreci</w:t>
      </w:r>
      <w:bookmarkEnd w:id="16"/>
    </w:p>
    <w:p w14:paraId="23FB22DD" w14:textId="10B2C9B4" w:rsidR="006F1CFE" w:rsidRDefault="00C62C3C">
      <w:pPr>
        <w:spacing w:after="0" w:line="360" w:lineRule="auto"/>
        <w:ind w:firstLine="709"/>
        <w:jc w:val="both"/>
      </w:pPr>
      <w:r>
        <w:rPr>
          <w:rFonts w:eastAsia="Times New Roman" w:hAnsi="Times New Roman" w:cs="Times New Roman"/>
          <w:b/>
          <w:color w:val="000000"/>
        </w:rPr>
        <w:t>Madde 10</w:t>
      </w:r>
      <w:r>
        <w:rPr>
          <w:rFonts w:eastAsia="Times New Roman" w:hAnsi="Times New Roman" w:cs="Times New Roman"/>
          <w:color w:val="000000"/>
        </w:rPr>
        <w:t xml:space="preserve"> – (1) TTO, bildirilen buluş veya diğer fikir ürününe ilişkin ön incelemeyi yapar; yenilik, buluş basamağı, sanayiye uygulanabilirlik, eser niteliği, ticarileştirme potansiyeli, sözleşmesel yükümlülükler, kamu destek şartları ve Üniversite menfaati bakımından dosyayı Komisyona sunar. Bu ön inceleme, bildirimin TTO kayıtlarına alındığı tarihten itibaren on beş gün içinde tamamlanır. </w:t>
      </w:r>
    </w:p>
    <w:p w14:paraId="747545AF" w14:textId="35F0C9D8" w:rsidR="006F1CFE" w:rsidRDefault="00C62C3C">
      <w:pPr>
        <w:spacing w:after="0" w:line="360" w:lineRule="auto"/>
        <w:ind w:firstLine="709"/>
        <w:jc w:val="both"/>
      </w:pPr>
      <w:r>
        <w:rPr>
          <w:rFonts w:eastAsia="Times New Roman" w:hAnsi="Times New Roman" w:cs="Times New Roman"/>
          <w:color w:val="000000"/>
        </w:rPr>
        <w:t xml:space="preserve">(2) Komisyon, gerekli gördüğü durumlarda Buluş Sahibinden ek bilgi ve belge isteyebilir, sunum talep edebilir ve uzman görüşü alabilir. </w:t>
      </w:r>
    </w:p>
    <w:p w14:paraId="51FF3CC4" w14:textId="717C39EF" w:rsidR="006F1CFE" w:rsidRDefault="00C62C3C">
      <w:pPr>
        <w:spacing w:after="0" w:line="360" w:lineRule="auto"/>
        <w:ind w:firstLine="709"/>
        <w:jc w:val="both"/>
      </w:pPr>
      <w:r>
        <w:rPr>
          <w:rFonts w:eastAsia="Times New Roman" w:hAnsi="Times New Roman" w:cs="Times New Roman"/>
          <w:color w:val="000000"/>
        </w:rPr>
        <w:t xml:space="preserve">(3) Komisyon değerlendirmesi sonucunda; ilgili ürünün hukuki niteliği, hizmet buluşu veya serbest buluş olup olmadığı, Üniversitenin Hak Sahipliği Talebi, Başvuru stratejisi, koruma türü, Gizli Bilgi niteliği ve ticarileştirme yaklaşımı hakkında gerekçeli öneri oluşturur ve Rektörlüğe sunar.  Komisyon değerlendirmesi, dosyanın Komisyona ulaşmasından itibaren otuz gün içinde tamamlanır. </w:t>
      </w:r>
    </w:p>
    <w:p w14:paraId="47CAFE26" w14:textId="77777777" w:rsidR="006F1CFE" w:rsidRDefault="00C62C3C">
      <w:pPr>
        <w:spacing w:after="105" w:line="360" w:lineRule="auto"/>
        <w:jc w:val="center"/>
      </w:pPr>
      <w:bookmarkStart w:id="17" w:name="hak_sahipliği_talebi"/>
      <w:r>
        <w:rPr>
          <w:rFonts w:eastAsia="Times New Roman" w:hAnsi="Times New Roman" w:cs="Times New Roman"/>
          <w:b/>
          <w:color w:val="000000"/>
        </w:rPr>
        <w:t>Hak sahipliği talebi</w:t>
      </w:r>
      <w:bookmarkEnd w:id="17"/>
    </w:p>
    <w:p w14:paraId="5184D491" w14:textId="45C77731" w:rsidR="006F1CFE" w:rsidRDefault="00C62C3C">
      <w:pPr>
        <w:spacing w:after="0" w:line="360" w:lineRule="auto"/>
        <w:ind w:firstLine="709"/>
        <w:jc w:val="both"/>
      </w:pPr>
      <w:r>
        <w:rPr>
          <w:rFonts w:eastAsia="Times New Roman" w:hAnsi="Times New Roman" w:cs="Times New Roman"/>
          <w:b/>
          <w:color w:val="000000"/>
        </w:rPr>
        <w:t>Madde 11</w:t>
      </w:r>
      <w:r>
        <w:rPr>
          <w:rFonts w:eastAsia="Times New Roman" w:hAnsi="Times New Roman" w:cs="Times New Roman"/>
          <w:color w:val="000000"/>
        </w:rPr>
        <w:t xml:space="preserve"> – (1) Üniversite, hizmet buluşu niteliğindeki bildirimler bakımından Hak Sahipliği Talebine ilişkin kararını, bildirimin TTO kayıtlarına alındığı tarihten itibaren dört ay içinde yazılı olarak Buluş Sahibine bildirir. </w:t>
      </w:r>
    </w:p>
    <w:p w14:paraId="6FDB9391" w14:textId="103465E6" w:rsidR="006F1CFE" w:rsidRDefault="00C62C3C">
      <w:pPr>
        <w:spacing w:after="0" w:line="360" w:lineRule="auto"/>
        <w:ind w:firstLine="709"/>
        <w:jc w:val="both"/>
      </w:pPr>
      <w:r>
        <w:rPr>
          <w:rFonts w:eastAsia="Times New Roman" w:hAnsi="Times New Roman" w:cs="Times New Roman"/>
          <w:color w:val="000000"/>
        </w:rPr>
        <w:lastRenderedPageBreak/>
        <w:t xml:space="preserve">(2) Üniversitenin tam hak sahipliği talebinde bulunması hâlinde, ilgili mevzuat çerçevesinde hizmet buluşuna ilişkin mali haklar Üniversiteye geçer; Buluş Sahibinin manevi hakları saklıdır. </w:t>
      </w:r>
    </w:p>
    <w:p w14:paraId="55B91A29" w14:textId="4535ECE4" w:rsidR="006F1CFE" w:rsidRDefault="00C62C3C">
      <w:pPr>
        <w:spacing w:after="0" w:line="360" w:lineRule="auto"/>
        <w:ind w:firstLine="709"/>
        <w:jc w:val="both"/>
      </w:pPr>
      <w:r>
        <w:rPr>
          <w:rFonts w:eastAsia="Times New Roman" w:hAnsi="Times New Roman" w:cs="Times New Roman"/>
          <w:color w:val="000000"/>
        </w:rPr>
        <w:t xml:space="preserve">(3) Üniversite, somut olayın özelliklerine göre tam hak sahipliği talebinde bulunabilir, kısmi hak sahipliği talep edebilir veya hak sahipliği talebinde bulunmayabilir. </w:t>
      </w:r>
    </w:p>
    <w:p w14:paraId="392D73BB" w14:textId="40CDB37B" w:rsidR="006F1CFE" w:rsidRDefault="00C62C3C">
      <w:pPr>
        <w:spacing w:after="0" w:line="360" w:lineRule="auto"/>
        <w:ind w:firstLine="709"/>
        <w:jc w:val="both"/>
      </w:pPr>
      <w:r>
        <w:rPr>
          <w:rFonts w:eastAsia="Times New Roman" w:hAnsi="Times New Roman" w:cs="Times New Roman"/>
          <w:color w:val="000000"/>
        </w:rPr>
        <w:t xml:space="preserve">(4) Üniversitenin hak sahipliği talebinde bulunduğu hâllerde Başvuru işlemleri, Çalışan Buluşlarına Dair Yönetmelikte öngörülen süreler içinde yürütülür. Üniversitenin bu süreleri kaçırması hâlinde ilgili buluş serbest buluş niteliği kazanır; Buluş Sahibi bu tarihten itibaren buluş üzerinde serbestçe tasarruf edebilir. </w:t>
      </w:r>
    </w:p>
    <w:p w14:paraId="1FBDA8CC" w14:textId="2E6B488E" w:rsidR="006F1CFE" w:rsidRDefault="00C62C3C">
      <w:pPr>
        <w:spacing w:after="0" w:line="360" w:lineRule="auto"/>
        <w:ind w:firstLine="709"/>
        <w:jc w:val="both"/>
      </w:pPr>
      <w:r>
        <w:rPr>
          <w:rFonts w:eastAsia="Times New Roman" w:hAnsi="Times New Roman" w:cs="Times New Roman"/>
          <w:color w:val="000000"/>
        </w:rPr>
        <w:t xml:space="preserve">(5) Serbest buluş niteliğinde olduğu değerlendirilen buluşlar üzerinde Üniversite, emredici mevzuat veya mevcut sözleşme hükümleri saklı kalmak kaydıyla hak talebinde bulunamaz; ancak Üniversite Kaynağı kullanımından doğan mali veya sözleşmesel hakları saklıdır. </w:t>
      </w:r>
    </w:p>
    <w:p w14:paraId="4A01681C" w14:textId="77777777" w:rsidR="006F1CFE" w:rsidRDefault="00C62C3C">
      <w:pPr>
        <w:spacing w:after="105" w:line="360" w:lineRule="auto"/>
        <w:jc w:val="center"/>
      </w:pPr>
      <w:bookmarkStart w:id="18" w:name="öğrenci_stajyer_ve_proje_personel_3d47b0"/>
      <w:r>
        <w:rPr>
          <w:rFonts w:eastAsia="Times New Roman" w:hAnsi="Times New Roman" w:cs="Times New Roman"/>
          <w:b/>
          <w:color w:val="000000"/>
        </w:rPr>
        <w:t>Öğrenci, stajyer ve proje personeli buluşları</w:t>
      </w:r>
      <w:bookmarkEnd w:id="18"/>
    </w:p>
    <w:p w14:paraId="3303D762" w14:textId="64CB4560" w:rsidR="006F1CFE" w:rsidRDefault="00C62C3C">
      <w:pPr>
        <w:spacing w:after="0" w:line="360" w:lineRule="auto"/>
        <w:ind w:firstLine="709"/>
        <w:jc w:val="both"/>
      </w:pPr>
      <w:r>
        <w:rPr>
          <w:rFonts w:eastAsia="Times New Roman" w:hAnsi="Times New Roman" w:cs="Times New Roman"/>
          <w:b/>
          <w:color w:val="000000"/>
        </w:rPr>
        <w:t>Madde 12</w:t>
      </w:r>
      <w:r>
        <w:rPr>
          <w:rFonts w:eastAsia="Times New Roman" w:hAnsi="Times New Roman" w:cs="Times New Roman"/>
          <w:color w:val="000000"/>
        </w:rPr>
        <w:t xml:space="preserve"> – (1) Öğrenci, stajyer, bursiyer veya proje personeli tarafından gerçekleştirilen buluşlarda; buluşun hizmet buluşu niteliğinde olup olmadığı değerlendirilirken Üniversite Kaynağı kullanımı, danışmanlık ilişkisi, proje finansmanı, laboratuvar kullanımı, Üniversite personelinin katkısı ve mevcut sözleşme hükümleri birlikte dikkate alınır. </w:t>
      </w:r>
    </w:p>
    <w:p w14:paraId="356AA2F1" w14:textId="65317340" w:rsidR="006F1CFE" w:rsidRDefault="00C62C3C">
      <w:pPr>
        <w:spacing w:after="0" w:line="360" w:lineRule="auto"/>
        <w:ind w:firstLine="709"/>
        <w:jc w:val="both"/>
      </w:pPr>
      <w:r>
        <w:rPr>
          <w:rFonts w:eastAsia="Times New Roman" w:hAnsi="Times New Roman" w:cs="Times New Roman"/>
          <w:color w:val="000000"/>
        </w:rPr>
        <w:t xml:space="preserve">(2) Ders, bitirme projesi, tez, laboratuvar çalışması, araştırma projesi veya Üniversite tarafından sağlanan imkânlar çerçevesinde geliştirilen buluşlar bakımından bu Yönerge hükümleri uygulanır. </w:t>
      </w:r>
    </w:p>
    <w:p w14:paraId="56F9D74F" w14:textId="351F565C" w:rsidR="006F1CFE" w:rsidRDefault="00C62C3C">
      <w:pPr>
        <w:spacing w:after="0" w:line="360" w:lineRule="auto"/>
        <w:ind w:firstLine="709"/>
        <w:jc w:val="both"/>
      </w:pPr>
      <w:r>
        <w:rPr>
          <w:rFonts w:eastAsia="Times New Roman" w:hAnsi="Times New Roman" w:cs="Times New Roman"/>
          <w:color w:val="000000"/>
        </w:rPr>
        <w:t xml:space="preserve">(3) Salt kişisel çalışma niteliğinde olan ve Üniversite Kaynağı ile ilişkisi bulunmayan buluşlar serbest buluş olarak değerlendirilir. Tereddüt hâlinde bildirim yapılması zorunludur. </w:t>
      </w:r>
    </w:p>
    <w:p w14:paraId="49C5D0C8" w14:textId="77777777" w:rsidR="006F1CFE" w:rsidRDefault="00C62C3C">
      <w:pPr>
        <w:spacing w:after="105" w:line="360" w:lineRule="auto"/>
        <w:jc w:val="center"/>
      </w:pPr>
      <w:bookmarkStart w:id="19" w:name="dördüncü_bölüm"/>
      <w:r>
        <w:rPr>
          <w:rFonts w:eastAsia="Times New Roman" w:hAnsi="Times New Roman" w:cs="Times New Roman"/>
          <w:b/>
          <w:color w:val="000000"/>
        </w:rPr>
        <w:t>DÖRDÜNCÜ BÖLÜM</w:t>
      </w:r>
      <w:bookmarkEnd w:id="19"/>
    </w:p>
    <w:p w14:paraId="44E775C0" w14:textId="77777777" w:rsidR="006F1CFE" w:rsidRDefault="00C62C3C">
      <w:pPr>
        <w:spacing w:after="105" w:line="360" w:lineRule="auto"/>
        <w:jc w:val="center"/>
      </w:pPr>
      <w:bookmarkStart w:id="20" w:name="projeler_başvuru_süreçleri_ve_tic_403664"/>
      <w:r>
        <w:rPr>
          <w:rFonts w:eastAsia="Times New Roman" w:hAnsi="Times New Roman" w:cs="Times New Roman"/>
          <w:b/>
          <w:color w:val="000000"/>
        </w:rPr>
        <w:t>Projeler, Başvuru Süreçleri ve Ticarileştirme</w:t>
      </w:r>
      <w:bookmarkEnd w:id="20"/>
    </w:p>
    <w:p w14:paraId="7E9D3291" w14:textId="77777777" w:rsidR="006F1CFE" w:rsidRDefault="00C62C3C">
      <w:pPr>
        <w:spacing w:after="105" w:line="360" w:lineRule="auto"/>
        <w:jc w:val="center"/>
      </w:pPr>
      <w:bookmarkStart w:id="21" w:name="kamu_destekli_ve_harici_destekli_d72052"/>
      <w:r>
        <w:rPr>
          <w:rFonts w:eastAsia="Times New Roman" w:hAnsi="Times New Roman" w:cs="Times New Roman"/>
          <w:b/>
          <w:color w:val="000000"/>
        </w:rPr>
        <w:t>Kamu destekli ve harici destekli projeler</w:t>
      </w:r>
      <w:bookmarkEnd w:id="21"/>
    </w:p>
    <w:p w14:paraId="6FA9F37D" w14:textId="0E40E7C8" w:rsidR="006F1CFE" w:rsidRDefault="00C62C3C">
      <w:pPr>
        <w:spacing w:after="0" w:line="360" w:lineRule="auto"/>
        <w:ind w:firstLine="709"/>
        <w:jc w:val="both"/>
      </w:pPr>
      <w:r>
        <w:rPr>
          <w:rFonts w:eastAsia="Times New Roman" w:hAnsi="Times New Roman" w:cs="Times New Roman"/>
          <w:b/>
          <w:color w:val="000000"/>
        </w:rPr>
        <w:t>Madde 13</w:t>
      </w:r>
      <w:r>
        <w:rPr>
          <w:rFonts w:eastAsia="Times New Roman" w:hAnsi="Times New Roman" w:cs="Times New Roman"/>
          <w:color w:val="000000"/>
        </w:rPr>
        <w:t xml:space="preserve"> – (1) Kamu Destekli Projelerde ortaya çıkan buluşlar ve diğer fikir ürünleri bakımından, ilgili destek programı mevzuatı, sözleşme hükümleri ve bildirim yükümlülükleri uygulanır. Gerekli bildirimlerin süresinde yapılmasından proje yürütücüsü ile Buluş Sahibi, TTO ile koordineli olarak sorumludur. </w:t>
      </w:r>
    </w:p>
    <w:p w14:paraId="65EEE457" w14:textId="6B08ADC2" w:rsidR="006F1CFE" w:rsidRDefault="00C62C3C">
      <w:pPr>
        <w:spacing w:after="0" w:line="360" w:lineRule="auto"/>
        <w:ind w:firstLine="709"/>
        <w:jc w:val="both"/>
      </w:pPr>
      <w:r>
        <w:rPr>
          <w:rFonts w:eastAsia="Times New Roman" w:hAnsi="Times New Roman" w:cs="Times New Roman"/>
          <w:color w:val="000000"/>
        </w:rPr>
        <w:t xml:space="preserve">(2) Harici Destekli Projelerde fikri ve sınai mülkiyet haklarının paylaşımı, emredici mevzuat hükümlerine aykırı olmamak kaydıyla öncelikle ilgili sözleşme hükümlerine göre belirlenir. </w:t>
      </w:r>
    </w:p>
    <w:p w14:paraId="18BAC708" w14:textId="46FEDDF8" w:rsidR="006F1CFE" w:rsidRDefault="00C62C3C">
      <w:pPr>
        <w:spacing w:after="0" w:line="360" w:lineRule="auto"/>
        <w:ind w:firstLine="709"/>
        <w:jc w:val="both"/>
      </w:pPr>
      <w:r>
        <w:rPr>
          <w:rFonts w:eastAsia="Times New Roman" w:hAnsi="Times New Roman" w:cs="Times New Roman"/>
          <w:color w:val="000000"/>
        </w:rPr>
        <w:t xml:space="preserve">(3) Üniversite adına imzalanacak araştırma, geliştirme, danışmanlık, test, hizmet alımı veya işbirliği sözleşmelerinde fikri ve sınai mülkiyet haklarına ilişkin hükümler bakımından TTO ve gerekli hâllerde Hukuk Müşavirliğinin görüşü alınır. </w:t>
      </w:r>
    </w:p>
    <w:p w14:paraId="5072472F" w14:textId="77777777" w:rsidR="006F1CFE" w:rsidRDefault="00C62C3C">
      <w:pPr>
        <w:spacing w:after="105" w:line="360" w:lineRule="auto"/>
        <w:jc w:val="center"/>
      </w:pPr>
      <w:bookmarkStart w:id="22" w:name="başvuru_tescil_ve_korumanın_sürdürülmesi"/>
      <w:r>
        <w:rPr>
          <w:rFonts w:eastAsia="Times New Roman" w:hAnsi="Times New Roman" w:cs="Times New Roman"/>
          <w:b/>
          <w:color w:val="000000"/>
        </w:rPr>
        <w:t>Başvuru, tescil ve korumanın sürdürülmesi</w:t>
      </w:r>
      <w:bookmarkEnd w:id="22"/>
    </w:p>
    <w:p w14:paraId="4B21C8A4" w14:textId="3A963B8D" w:rsidR="006F1CFE" w:rsidRDefault="00C62C3C">
      <w:pPr>
        <w:spacing w:after="0" w:line="360" w:lineRule="auto"/>
        <w:ind w:firstLine="709"/>
        <w:jc w:val="both"/>
      </w:pPr>
      <w:r>
        <w:rPr>
          <w:rFonts w:eastAsia="Times New Roman" w:hAnsi="Times New Roman" w:cs="Times New Roman"/>
          <w:b/>
          <w:color w:val="000000"/>
        </w:rPr>
        <w:t>Madde 14</w:t>
      </w:r>
      <w:r>
        <w:rPr>
          <w:rFonts w:eastAsia="Times New Roman" w:hAnsi="Times New Roman" w:cs="Times New Roman"/>
          <w:color w:val="000000"/>
        </w:rPr>
        <w:t xml:space="preserve"> – (1) Üniversite, Hak Sahipliği Talebinde bulunduğu buluşlar ve diğer fikir ürünleri bakımından Patent, faydalı model, tasarım, marka veya uygun diğer koruma yollarına Başvuru yapabilir. </w:t>
      </w:r>
    </w:p>
    <w:p w14:paraId="6A1B0B00" w14:textId="30775C80" w:rsidR="006F1CFE" w:rsidRDefault="00C62C3C">
      <w:pPr>
        <w:spacing w:after="0" w:line="360" w:lineRule="auto"/>
        <w:ind w:firstLine="709"/>
        <w:jc w:val="both"/>
      </w:pPr>
      <w:r>
        <w:rPr>
          <w:rFonts w:eastAsia="Times New Roman" w:hAnsi="Times New Roman" w:cs="Times New Roman"/>
          <w:color w:val="000000"/>
        </w:rPr>
        <w:lastRenderedPageBreak/>
        <w:t xml:space="preserve">(2) Başvurunun kapsamı, yapılacağı ülke veya ülkeler, ulusal veya uluslararası yol tercihi, korumanın sürdürülmesi, genişletilmesi, yenilenmesi veya sona erdirilmesi; teknik, hukuki ve ekonomik değerlendirme sonucunda Komisyonun önerisi üzerine Rektörlük tarafından kararlaştırılır. </w:t>
      </w:r>
    </w:p>
    <w:p w14:paraId="2A81ED85" w14:textId="6E2470E4" w:rsidR="006F1CFE" w:rsidRDefault="00C62C3C">
      <w:pPr>
        <w:spacing w:after="0" w:line="360" w:lineRule="auto"/>
        <w:ind w:firstLine="709"/>
        <w:jc w:val="both"/>
      </w:pPr>
      <w:r>
        <w:rPr>
          <w:rFonts w:eastAsia="Times New Roman" w:hAnsi="Times New Roman" w:cs="Times New Roman"/>
          <w:color w:val="000000"/>
        </w:rPr>
        <w:t xml:space="preserve">(3) Üniversite, ticarileştirme potansiyeli bulunmayan, koruma maliyeti yüksek olan, stratejik önemi kalmayan veya hukuken korunabilirliği zayıf bulunan dosyalarda korumayı sürdürmeme kararı alabilir. Bu durumda Madde 17 hükümleri uygulanır. </w:t>
      </w:r>
    </w:p>
    <w:p w14:paraId="5581DE15" w14:textId="77777777" w:rsidR="006F1CFE" w:rsidRDefault="00C62C3C">
      <w:pPr>
        <w:spacing w:after="105" w:line="360" w:lineRule="auto"/>
        <w:jc w:val="center"/>
      </w:pPr>
      <w:bookmarkStart w:id="23" w:name="ticarileştirme_usulleri"/>
      <w:r>
        <w:rPr>
          <w:rFonts w:eastAsia="Times New Roman" w:hAnsi="Times New Roman" w:cs="Times New Roman"/>
          <w:b/>
          <w:color w:val="000000"/>
        </w:rPr>
        <w:t>Ticarileştirme usulleri</w:t>
      </w:r>
      <w:bookmarkEnd w:id="23"/>
    </w:p>
    <w:p w14:paraId="7231B281" w14:textId="070BC53B" w:rsidR="006F1CFE" w:rsidRDefault="00C62C3C">
      <w:pPr>
        <w:spacing w:after="0" w:line="360" w:lineRule="auto"/>
        <w:ind w:firstLine="709"/>
        <w:jc w:val="both"/>
      </w:pPr>
      <w:r>
        <w:rPr>
          <w:rFonts w:eastAsia="Times New Roman" w:hAnsi="Times New Roman" w:cs="Times New Roman"/>
          <w:b/>
          <w:color w:val="000000"/>
        </w:rPr>
        <w:t>Madde 15</w:t>
      </w:r>
      <w:r>
        <w:rPr>
          <w:rFonts w:eastAsia="Times New Roman" w:hAnsi="Times New Roman" w:cs="Times New Roman"/>
          <w:color w:val="000000"/>
        </w:rPr>
        <w:t xml:space="preserve"> – (1) Üniversite, hak sahibi olduğu fikri ve sınai mülkiyet haklarını lisans, alt lisans, devir, ortak girişim, Spin-off Şirket, üretim işbirliği, Teknik Bilgi / Know-how aktarımı veya diğer hukuki ve ticari yöntemlerle ticarileştirebilir. </w:t>
      </w:r>
    </w:p>
    <w:p w14:paraId="7799E7C3" w14:textId="699A1936" w:rsidR="006F1CFE" w:rsidRDefault="00C62C3C">
      <w:pPr>
        <w:spacing w:after="0" w:line="360" w:lineRule="auto"/>
        <w:ind w:firstLine="709"/>
        <w:jc w:val="both"/>
      </w:pPr>
      <w:r>
        <w:rPr>
          <w:rFonts w:eastAsia="Times New Roman" w:hAnsi="Times New Roman" w:cs="Times New Roman"/>
          <w:color w:val="000000"/>
        </w:rPr>
        <w:t xml:space="preserve">(2) Ticarileştirme kararlarında; kamu yararı, Üniversitenin stratejik öncelikleri, teknik uygulanabilirlik, yatırım ihtiyacı, pazar potansiyeli, Buluş Sahibinin katkısı ve üçüncü kişilerin yükümlülüklerini yerine getirme kapasitesi dikkate alınır. </w:t>
      </w:r>
    </w:p>
    <w:p w14:paraId="665D0911" w14:textId="57C60FF9" w:rsidR="006F1CFE" w:rsidRDefault="00C62C3C">
      <w:pPr>
        <w:spacing w:after="0" w:line="360" w:lineRule="auto"/>
        <w:ind w:firstLine="709"/>
        <w:jc w:val="both"/>
      </w:pPr>
      <w:r>
        <w:rPr>
          <w:rFonts w:eastAsia="Times New Roman" w:hAnsi="Times New Roman" w:cs="Times New Roman"/>
          <w:color w:val="000000"/>
        </w:rPr>
        <w:t xml:space="preserve">(3) Lisans ve Devir sözleşmeleri yazılı şekilde yapılır. Bu sözleşmelerde en az hak kapsamı, süre, coğrafi alan, bedel, ödeme planı, performans yükümlülüğü, alt lisans imkânı, denetim, gizlilik, ihlal, sona erme ve uyuşmazlık çözümüne ilişkin hükümler yer alır. </w:t>
      </w:r>
    </w:p>
    <w:p w14:paraId="1A31BA4E" w14:textId="77777777" w:rsidR="006F1CFE" w:rsidRDefault="00C62C3C">
      <w:pPr>
        <w:spacing w:after="105" w:line="360" w:lineRule="auto"/>
        <w:jc w:val="center"/>
      </w:pPr>
      <w:bookmarkStart w:id="24" w:name="beşi̇nci̇_bölüm"/>
      <w:r>
        <w:rPr>
          <w:rFonts w:eastAsia="Times New Roman" w:hAnsi="Times New Roman" w:cs="Times New Roman"/>
          <w:b/>
          <w:color w:val="000000"/>
        </w:rPr>
        <w:t>BEŞİNCİ BÖLÜM</w:t>
      </w:r>
      <w:bookmarkEnd w:id="24"/>
    </w:p>
    <w:p w14:paraId="00C4EFBF" w14:textId="77777777" w:rsidR="006F1CFE" w:rsidRDefault="00C62C3C">
      <w:pPr>
        <w:spacing w:after="105" w:line="360" w:lineRule="auto"/>
        <w:jc w:val="center"/>
      </w:pPr>
      <w:bookmarkStart w:id="25" w:name="gelir_paylaşımı_feragat_i̇tiraz_v_a79e30"/>
      <w:r>
        <w:rPr>
          <w:rFonts w:eastAsia="Times New Roman" w:hAnsi="Times New Roman" w:cs="Times New Roman"/>
          <w:b/>
          <w:color w:val="000000"/>
        </w:rPr>
        <w:t>Gelir Paylaşımı, Feragat, İtiraz ve Son Hükümler</w:t>
      </w:r>
      <w:bookmarkEnd w:id="25"/>
    </w:p>
    <w:p w14:paraId="1E2E28B6" w14:textId="77777777" w:rsidR="006F1CFE" w:rsidRDefault="00C62C3C">
      <w:pPr>
        <w:spacing w:after="105" w:line="360" w:lineRule="auto"/>
        <w:jc w:val="center"/>
      </w:pPr>
      <w:bookmarkStart w:id="26" w:name="gelir_paylaşımı"/>
      <w:r>
        <w:rPr>
          <w:rFonts w:eastAsia="Times New Roman" w:hAnsi="Times New Roman" w:cs="Times New Roman"/>
          <w:b/>
          <w:color w:val="000000"/>
        </w:rPr>
        <w:t>Gelir paylaşımı</w:t>
      </w:r>
      <w:bookmarkEnd w:id="26"/>
    </w:p>
    <w:p w14:paraId="6BDC9C0B" w14:textId="645F97C0" w:rsidR="006F1CFE" w:rsidRDefault="00C62C3C">
      <w:pPr>
        <w:spacing w:after="0" w:line="360" w:lineRule="auto"/>
        <w:ind w:firstLine="709"/>
        <w:jc w:val="both"/>
      </w:pPr>
      <w:r>
        <w:rPr>
          <w:rFonts w:eastAsia="Times New Roman" w:hAnsi="Times New Roman" w:cs="Times New Roman"/>
          <w:b/>
          <w:color w:val="000000"/>
        </w:rPr>
        <w:t>Madde 16</w:t>
      </w:r>
      <w:r>
        <w:rPr>
          <w:rFonts w:eastAsia="Times New Roman" w:hAnsi="Times New Roman" w:cs="Times New Roman"/>
          <w:color w:val="000000"/>
        </w:rPr>
        <w:t xml:space="preserve"> – (1) Üniversitenin hak sahibi olduğu fikri ve sınai mülkiyet haklarının ticarileştirilmesi sonucunda tahsil edilen Net Gelirin %35’i Buluş Sahibine veya Sahiplerine ödenir. Bu oran, Çalışan Buluşlarına Dair Yönetmelikte öngörülen asgari oranın altına indirilemez; değiştirme kararı Senatonun onayını gerektirir. </w:t>
      </w:r>
    </w:p>
    <w:p w14:paraId="095B33BE" w14:textId="424D87DA" w:rsidR="006F1CFE" w:rsidRDefault="00C62C3C">
      <w:pPr>
        <w:spacing w:after="0" w:line="360" w:lineRule="auto"/>
        <w:ind w:firstLine="709"/>
        <w:jc w:val="both"/>
      </w:pPr>
      <w:r>
        <w:rPr>
          <w:rFonts w:eastAsia="Times New Roman" w:hAnsi="Times New Roman" w:cs="Times New Roman"/>
          <w:color w:val="000000"/>
        </w:rPr>
        <w:t xml:space="preserve">(2) Birden fazla Buluş Sahibi bulunması hâlinde, buluş sahiplerine ödenecek tutar, tarafların yazılı olarak bildirdikleri Katkı Oranına göre dağıtılır. Katkı Oranının belirlenememesi veya uyuşmazlık çıkması hâlinde dağıtım, Komisyonun gerekçeli önerisi üzerine Rektörlük tarafından belirlenir. </w:t>
      </w:r>
    </w:p>
    <w:p w14:paraId="0ADCC4E3" w14:textId="33618DA3" w:rsidR="006F1CFE" w:rsidRDefault="00C62C3C">
      <w:pPr>
        <w:spacing w:after="0" w:line="360" w:lineRule="auto"/>
        <w:ind w:firstLine="709"/>
        <w:jc w:val="both"/>
      </w:pPr>
      <w:r>
        <w:rPr>
          <w:rFonts w:eastAsia="Times New Roman" w:hAnsi="Times New Roman" w:cs="Times New Roman"/>
          <w:color w:val="000000"/>
        </w:rPr>
        <w:t xml:space="preserve">(3) Net Gelirin hesaplanmasında esas alınan gider kalemleri Üniversite kayıtları ve ilgili sözleşmeler çerçevesinde belirlenir. Ödeme, tahsilatı izleyen altmış gün içinde ve yasal kesintiler düşülerek ilgili kişinin banka hesabına aktarılır. </w:t>
      </w:r>
    </w:p>
    <w:p w14:paraId="5279E92B" w14:textId="40837F15" w:rsidR="006F1CFE" w:rsidRDefault="00C62C3C">
      <w:pPr>
        <w:spacing w:after="0" w:line="360" w:lineRule="auto"/>
        <w:ind w:firstLine="709"/>
        <w:jc w:val="both"/>
      </w:pPr>
      <w:r>
        <w:rPr>
          <w:rFonts w:eastAsia="Times New Roman" w:hAnsi="Times New Roman" w:cs="Times New Roman"/>
          <w:color w:val="000000"/>
        </w:rPr>
        <w:t xml:space="preserve">(4) Kamu Destekli Projeler veya Harici Destekli Projeler kapsamında ortaya çıkan ve özel gelir paylaşımı düzenlemesi içeren dosyalarda, emredici mevzuata aykırı olmamak kaydıyla ilgili sözleşme hükümleri uygulanır. </w:t>
      </w:r>
    </w:p>
    <w:p w14:paraId="29F2F302" w14:textId="77777777" w:rsidR="006F1CFE" w:rsidRDefault="00C62C3C">
      <w:pPr>
        <w:spacing w:after="105" w:line="360" w:lineRule="auto"/>
        <w:jc w:val="center"/>
      </w:pPr>
      <w:bookmarkStart w:id="27" w:name="feragat_ve_devir"/>
      <w:r>
        <w:rPr>
          <w:rFonts w:eastAsia="Times New Roman" w:hAnsi="Times New Roman" w:cs="Times New Roman"/>
          <w:b/>
          <w:color w:val="000000"/>
        </w:rPr>
        <w:t>Feragat ve devir</w:t>
      </w:r>
      <w:bookmarkEnd w:id="27"/>
    </w:p>
    <w:p w14:paraId="68616C24" w14:textId="0FAF0C71" w:rsidR="006F1CFE" w:rsidRDefault="00C62C3C">
      <w:pPr>
        <w:spacing w:after="0" w:line="360" w:lineRule="auto"/>
        <w:ind w:firstLine="709"/>
        <w:jc w:val="both"/>
      </w:pPr>
      <w:r>
        <w:rPr>
          <w:rFonts w:eastAsia="Times New Roman" w:hAnsi="Times New Roman" w:cs="Times New Roman"/>
          <w:b/>
          <w:color w:val="000000"/>
        </w:rPr>
        <w:lastRenderedPageBreak/>
        <w:t>Madde 17</w:t>
      </w:r>
      <w:r>
        <w:rPr>
          <w:rFonts w:eastAsia="Times New Roman" w:hAnsi="Times New Roman" w:cs="Times New Roman"/>
          <w:color w:val="000000"/>
        </w:rPr>
        <w:t xml:space="preserve"> – (1) Üniversite, bildirilen veya Başvurusu yapılmış bir buluş ya da diğer fikir ürününün Üniversite lehine korunmamasına, korumanın sürdürülmemesine veya hak sahipliği talebinden tamamen ya da kısmen vazgeçilmesine karar verebilir. </w:t>
      </w:r>
    </w:p>
    <w:p w14:paraId="7C7E87CD" w14:textId="497D0D4A" w:rsidR="006F1CFE" w:rsidRDefault="00C62C3C">
      <w:pPr>
        <w:spacing w:after="0" w:line="360" w:lineRule="auto"/>
        <w:ind w:firstLine="709"/>
        <w:jc w:val="both"/>
      </w:pPr>
      <w:r>
        <w:rPr>
          <w:rFonts w:eastAsia="Times New Roman" w:hAnsi="Times New Roman" w:cs="Times New Roman"/>
          <w:color w:val="000000"/>
        </w:rPr>
        <w:t xml:space="preserve">(2) Bu durumda Üniversite, kamu yararı, mevcut sözleşmeler, kamu destek koşulları ve üçüncü kişi hakları saklı kalmak kaydıyla ilgili haklardan Feragat edebilir veya uygun şartlarla Buluş Sahibine ya da üçüncü kişiye Devir yapabilir. </w:t>
      </w:r>
    </w:p>
    <w:p w14:paraId="1D2CC4CD" w14:textId="5D73993C" w:rsidR="006F1CFE" w:rsidRDefault="00C62C3C">
      <w:pPr>
        <w:spacing w:after="0" w:line="360" w:lineRule="auto"/>
        <w:ind w:firstLine="709"/>
        <w:jc w:val="both"/>
      </w:pPr>
      <w:r>
        <w:rPr>
          <w:rFonts w:eastAsia="Times New Roman" w:hAnsi="Times New Roman" w:cs="Times New Roman"/>
          <w:color w:val="000000"/>
        </w:rPr>
        <w:t xml:space="preserve">(3) Feragat veya Devir hâlinde Üniversite lehine bedelsiz araştırma ve eğitim amaçlı kullanım hakkı, kamu yararı amacıyla kullanım hakkı, geri Lisans hakkı veya gelirden pay alma hakkı saklı tutulabilir. </w:t>
      </w:r>
    </w:p>
    <w:p w14:paraId="5986B3BA" w14:textId="77777777" w:rsidR="006F1CFE" w:rsidRDefault="00C62C3C">
      <w:pPr>
        <w:spacing w:after="105" w:line="360" w:lineRule="auto"/>
        <w:jc w:val="center"/>
      </w:pPr>
      <w:bookmarkStart w:id="28" w:name="i̇tiraz_usulü"/>
      <w:r>
        <w:rPr>
          <w:rFonts w:eastAsia="Times New Roman" w:hAnsi="Times New Roman" w:cs="Times New Roman"/>
          <w:b/>
          <w:color w:val="000000"/>
        </w:rPr>
        <w:t>İtiraz usulü</w:t>
      </w:r>
      <w:bookmarkEnd w:id="28"/>
    </w:p>
    <w:p w14:paraId="1FA9DCCF" w14:textId="36CA8C55" w:rsidR="006F1CFE" w:rsidRDefault="00C62C3C">
      <w:pPr>
        <w:spacing w:after="0" w:line="360" w:lineRule="auto"/>
        <w:ind w:firstLine="709"/>
        <w:jc w:val="both"/>
      </w:pPr>
      <w:r>
        <w:rPr>
          <w:rFonts w:eastAsia="Times New Roman" w:hAnsi="Times New Roman" w:cs="Times New Roman"/>
          <w:b/>
          <w:color w:val="000000"/>
        </w:rPr>
        <w:t>Madde 18</w:t>
      </w:r>
      <w:r>
        <w:rPr>
          <w:rFonts w:eastAsia="Times New Roman" w:hAnsi="Times New Roman" w:cs="Times New Roman"/>
          <w:color w:val="000000"/>
        </w:rPr>
        <w:t xml:space="preserve"> – (1) Buluş Sahibi; hak sahipliği, Katkı Oranı, gelir paylaşımı, Başvuru yapılmaması, korumanın sürdürülmemesi, Feragat veya Devir yönündeki kararlara karşı, kararın tebliğinden itibaren on beş gün içinde gerekçeli olarak Rektörlüğe itiraz edebilir. </w:t>
      </w:r>
    </w:p>
    <w:p w14:paraId="5288BCCD" w14:textId="1376642F" w:rsidR="006F1CFE" w:rsidRDefault="00C62C3C">
      <w:pPr>
        <w:spacing w:after="0" w:line="360" w:lineRule="auto"/>
        <w:ind w:firstLine="709"/>
        <w:jc w:val="both"/>
      </w:pPr>
      <w:r>
        <w:rPr>
          <w:rFonts w:eastAsia="Times New Roman" w:hAnsi="Times New Roman" w:cs="Times New Roman"/>
          <w:color w:val="000000"/>
        </w:rPr>
        <w:t xml:space="preserve">(2) İtirazlar, gerekli görülmesi hâlinde Komisyonun yeniden görüşü alınarak en geç otuz gün içinde karara bağlanır. </w:t>
      </w:r>
    </w:p>
    <w:p w14:paraId="62BFE8E0" w14:textId="3FEE279B" w:rsidR="006F1CFE" w:rsidRDefault="00C62C3C">
      <w:pPr>
        <w:spacing w:after="0" w:line="360" w:lineRule="auto"/>
        <w:ind w:firstLine="709"/>
        <w:jc w:val="both"/>
      </w:pPr>
      <w:r>
        <w:rPr>
          <w:rFonts w:eastAsia="Times New Roman" w:hAnsi="Times New Roman" w:cs="Times New Roman"/>
          <w:color w:val="000000"/>
        </w:rPr>
        <w:t xml:space="preserve">(3) İtiraz üzerine verilen karar ilgililere yazılı olarak bildirilir. İşlemin tebliğinden itibaren altmış gün içinde ilgili idare mahkemesine iptal davası açılabilir (2577 sayılı İdari Yargılama Usulü Kanunu md. 7). </w:t>
      </w:r>
    </w:p>
    <w:p w14:paraId="7755C27F" w14:textId="77777777" w:rsidR="006F1CFE" w:rsidRDefault="00C62C3C">
      <w:pPr>
        <w:spacing w:after="105" w:line="360" w:lineRule="auto"/>
        <w:jc w:val="center"/>
      </w:pPr>
      <w:bookmarkStart w:id="29" w:name="gizlilik_ihlali_ve_sorumluluk"/>
      <w:r>
        <w:rPr>
          <w:rFonts w:eastAsia="Times New Roman" w:hAnsi="Times New Roman" w:cs="Times New Roman"/>
          <w:b/>
          <w:color w:val="000000"/>
        </w:rPr>
        <w:t>Gizlilik ihlali ve sorumluluk</w:t>
      </w:r>
      <w:bookmarkEnd w:id="29"/>
    </w:p>
    <w:p w14:paraId="30137C45" w14:textId="2E72388E" w:rsidR="006F1CFE" w:rsidRDefault="00C62C3C">
      <w:pPr>
        <w:spacing w:after="0" w:line="360" w:lineRule="auto"/>
        <w:ind w:firstLine="709"/>
        <w:jc w:val="both"/>
      </w:pPr>
      <w:r>
        <w:rPr>
          <w:rFonts w:eastAsia="Times New Roman" w:hAnsi="Times New Roman" w:cs="Times New Roman"/>
          <w:b/>
          <w:color w:val="000000"/>
        </w:rPr>
        <w:t>Madde 19</w:t>
      </w:r>
      <w:r>
        <w:rPr>
          <w:rFonts w:eastAsia="Times New Roman" w:hAnsi="Times New Roman" w:cs="Times New Roman"/>
          <w:color w:val="000000"/>
        </w:rPr>
        <w:t xml:space="preserve"> – (1) Bu Yönerge kapsamındaki Gizli Bilgiye ilişkin yükümlülüklere aykırı davrananlar hakkında fiilin niteliğine göre genel mevzuat, disiplin hükümleri, sözleşme hükümleri ve genel hukuk hükümleri uygulanır. </w:t>
      </w:r>
    </w:p>
    <w:p w14:paraId="76933FE6" w14:textId="6EF071DB" w:rsidR="006F1CFE" w:rsidRDefault="00C62C3C">
      <w:pPr>
        <w:spacing w:after="0" w:line="360" w:lineRule="auto"/>
        <w:ind w:firstLine="709"/>
        <w:jc w:val="both"/>
      </w:pPr>
      <w:r>
        <w:rPr>
          <w:rFonts w:eastAsia="Times New Roman" w:hAnsi="Times New Roman" w:cs="Times New Roman"/>
          <w:color w:val="000000"/>
        </w:rPr>
        <w:t xml:space="preserve">(2) Üniversitenin, Buluş Sahibinin veya sözleşme taraflarının zarara uğraması hâlinde genel hükümlere göre tazmin talep edilebilir. </w:t>
      </w:r>
    </w:p>
    <w:p w14:paraId="1A100019" w14:textId="77777777" w:rsidR="006F1CFE" w:rsidRDefault="00C62C3C">
      <w:pPr>
        <w:spacing w:after="0" w:line="360" w:lineRule="auto"/>
        <w:ind w:firstLine="709"/>
        <w:jc w:val="both"/>
      </w:pPr>
      <w:r>
        <w:rPr>
          <w:rFonts w:eastAsia="Times New Roman" w:hAnsi="Times New Roman" w:cs="Times New Roman"/>
          <w:color w:val="000000"/>
        </w:rPr>
        <w:t>(3) Bu madde kapsamındaki disiplin soruşturması başlatılmadan önce ilgiliye, konu ve gerekçe yazılı olarak bildirilir; en az on günlük savunma süresi tanınır. Savunma alınmadan disiplin yaptırımı uygulanamaz. Öğretim üyeleri hakkında 2547 sayılı Kanunun 53. maddesi, idari personel hakkında 657 sayılı Devlet Memurları Kanununun 125. ve 130. maddeleri uygulanır.</w:t>
      </w:r>
    </w:p>
    <w:p w14:paraId="1A100020" w14:textId="77777777" w:rsidR="006F1CFE" w:rsidRDefault="00C62C3C">
      <w:pPr>
        <w:spacing w:after="105" w:line="360" w:lineRule="auto"/>
        <w:jc w:val="center"/>
      </w:pPr>
      <w:bookmarkStart w:id="30" w:name="kişisel_verilerin_korunması"/>
      <w:r>
        <w:rPr>
          <w:rFonts w:eastAsia="Times New Roman" w:hAnsi="Times New Roman" w:cs="Times New Roman"/>
          <w:b/>
          <w:color w:val="000000"/>
        </w:rPr>
        <w:t>Kişisel verilerin korunması</w:t>
      </w:r>
      <w:bookmarkEnd w:id="30"/>
    </w:p>
    <w:p w14:paraId="1A100021" w14:textId="77777777" w:rsidR="006F1CFE" w:rsidRDefault="00C62C3C">
      <w:pPr>
        <w:spacing w:after="0" w:line="360" w:lineRule="auto"/>
        <w:ind w:firstLine="709"/>
        <w:jc w:val="both"/>
      </w:pPr>
      <w:r>
        <w:rPr>
          <w:rFonts w:eastAsia="Times New Roman" w:hAnsi="Times New Roman" w:cs="Times New Roman"/>
          <w:b/>
          <w:color w:val="000000"/>
        </w:rPr>
        <w:t>Madde 21</w:t>
      </w:r>
      <w:r>
        <w:rPr>
          <w:rFonts w:eastAsia="Times New Roman" w:hAnsi="Times New Roman" w:cs="Times New Roman"/>
          <w:color w:val="000000"/>
        </w:rPr>
        <w:t xml:space="preserve"> – (1) Bu Yönerge kapsamındaki süreçlerde işlenen kişisel veriler, 6698 sayılı Kişisel Verilerin Korunması Kanunu hükümlerine uygun olarak Ağrı İbrahim Çeçen Üniversitesi Rektörlüğü veri sorumluluğunda işlenir.</w:t>
      </w:r>
    </w:p>
    <w:p w14:paraId="1A100022" w14:textId="77777777" w:rsidR="006F1CFE" w:rsidRDefault="00C62C3C">
      <w:pPr>
        <w:spacing w:after="0" w:line="360" w:lineRule="auto"/>
        <w:ind w:firstLine="709"/>
        <w:jc w:val="both"/>
      </w:pPr>
      <w:r>
        <w:rPr>
          <w:rFonts w:eastAsia="Times New Roman" w:hAnsi="Times New Roman" w:cs="Times New Roman"/>
          <w:color w:val="000000"/>
        </w:rPr>
        <w:t>(2) Bu Yönerge kapsamındaki standart formlar, KVKK md. 10 uyarınca hazırlanan aydınlatma metni içermeksizin geçerli sayılmaz.</w:t>
      </w:r>
    </w:p>
    <w:p w14:paraId="1A100023" w14:textId="77777777" w:rsidR="006F1CFE" w:rsidRDefault="00C62C3C">
      <w:pPr>
        <w:spacing w:after="0" w:line="360" w:lineRule="auto"/>
        <w:ind w:firstLine="709"/>
        <w:jc w:val="both"/>
      </w:pPr>
      <w:r>
        <w:rPr>
          <w:rFonts w:eastAsia="Times New Roman" w:hAnsi="Times New Roman" w:cs="Times New Roman"/>
          <w:color w:val="000000"/>
        </w:rPr>
        <w:t>(3) Bildirim sürecinde toplanan kişisel veriler, başvurunun kesinleşmesinden itibaren en fazla on yıl saklanır; bu sürenin sonunda KVKK md. 7 uyarınca usulüne göre imha edilir.</w:t>
      </w:r>
    </w:p>
    <w:p w14:paraId="1A100024" w14:textId="77777777" w:rsidR="006F1CFE" w:rsidRDefault="00C62C3C">
      <w:pPr>
        <w:spacing w:after="0" w:line="360" w:lineRule="auto"/>
        <w:ind w:firstLine="709"/>
        <w:jc w:val="both"/>
      </w:pPr>
      <w:r>
        <w:rPr>
          <w:rFonts w:eastAsia="Times New Roman" w:hAnsi="Times New Roman" w:cs="Times New Roman"/>
          <w:color w:val="000000"/>
        </w:rPr>
        <w:lastRenderedPageBreak/>
        <w:t>(4) Uluslararası başvurularda yurt dışına yapılan veri aktarımları KVKK md. 9 hükümlerine uygun biçimde gerçekleştirilir.</w:t>
      </w:r>
    </w:p>
    <w:p w14:paraId="1A100025" w14:textId="77777777" w:rsidR="006F1CFE" w:rsidRDefault="00C62C3C">
      <w:pPr>
        <w:spacing w:after="0" w:line="360" w:lineRule="auto"/>
        <w:ind w:firstLine="709"/>
        <w:jc w:val="both"/>
      </w:pPr>
      <w:r>
        <w:rPr>
          <w:rFonts w:eastAsia="Times New Roman" w:hAnsi="Times New Roman" w:cs="Times New Roman"/>
          <w:color w:val="000000"/>
        </w:rPr>
        <w:t>(5) İlgili kişiler, KVKK md. 11 kapsamındaki haklarını Üniversite Kişisel Veri Sorumlusuna veya TTO’ya başvurarak kullanabilirler.</w:t>
      </w:r>
    </w:p>
    <w:p w14:paraId="0A075CC9" w14:textId="77777777" w:rsidR="006F1CFE" w:rsidRDefault="00C62C3C">
      <w:pPr>
        <w:spacing w:after="105" w:line="360" w:lineRule="auto"/>
        <w:jc w:val="center"/>
      </w:pPr>
      <w:bookmarkStart w:id="31" w:name="hüküm_bulunmayan_hâller"/>
      <w:r>
        <w:rPr>
          <w:rFonts w:eastAsia="Times New Roman" w:hAnsi="Times New Roman" w:cs="Times New Roman"/>
          <w:b/>
          <w:color w:val="000000"/>
        </w:rPr>
        <w:t>Hüküm bulunmayan hâller</w:t>
      </w:r>
      <w:bookmarkEnd w:id="31"/>
    </w:p>
    <w:p w14:paraId="577F32CE" w14:textId="194CC956" w:rsidR="006F1CFE" w:rsidRDefault="00C62C3C">
      <w:pPr>
        <w:spacing w:after="0" w:line="360" w:lineRule="auto"/>
        <w:ind w:firstLine="709"/>
        <w:jc w:val="both"/>
      </w:pPr>
      <w:r>
        <w:rPr>
          <w:rFonts w:eastAsia="Times New Roman" w:hAnsi="Times New Roman" w:cs="Times New Roman"/>
          <w:b/>
          <w:color w:val="000000"/>
        </w:rPr>
        <w:t>Madde 20</w:t>
      </w:r>
      <w:r>
        <w:rPr>
          <w:rFonts w:eastAsia="Times New Roman" w:hAnsi="Times New Roman" w:cs="Times New Roman"/>
          <w:color w:val="000000"/>
        </w:rPr>
        <w:t xml:space="preserve"> – (1) Bu Yönergede hüküm bulunmayan hâllerde ilgili mevzuat hükümleri, Senato kararları, Üniversitenin yetkili kurul kararları ve genel hukuk ilkeleri uygulanır. </w:t>
      </w:r>
    </w:p>
    <w:p w14:paraId="45CCF3FC" w14:textId="77777777" w:rsidR="006F1CFE" w:rsidRDefault="00C62C3C">
      <w:pPr>
        <w:spacing w:after="105" w:line="360" w:lineRule="auto"/>
        <w:jc w:val="center"/>
      </w:pPr>
      <w:bookmarkStart w:id="32" w:name="yürürlük"/>
      <w:r>
        <w:rPr>
          <w:rFonts w:eastAsia="Times New Roman" w:hAnsi="Times New Roman" w:cs="Times New Roman"/>
          <w:b/>
          <w:color w:val="000000"/>
        </w:rPr>
        <w:t>Yürürlük</w:t>
      </w:r>
      <w:bookmarkEnd w:id="32"/>
    </w:p>
    <w:p w14:paraId="62B8DAA5" w14:textId="77777777" w:rsidR="006F1CFE" w:rsidRDefault="00C62C3C">
      <w:pPr>
        <w:spacing w:after="0" w:line="360" w:lineRule="auto"/>
        <w:ind w:firstLine="709"/>
        <w:jc w:val="both"/>
      </w:pPr>
      <w:r>
        <w:rPr>
          <w:rFonts w:eastAsia="Times New Roman" w:hAnsi="Times New Roman" w:cs="Times New Roman"/>
          <w:b/>
          <w:color w:val="000000"/>
        </w:rPr>
        <w:t>Madde 22</w:t>
      </w:r>
      <w:r>
        <w:rPr>
          <w:rFonts w:eastAsia="Times New Roman" w:hAnsi="Times New Roman" w:cs="Times New Roman"/>
          <w:color w:val="000000"/>
        </w:rPr>
        <w:t xml:space="preserve"> – (1) Bu Yönerge, Ağrı İbrahim Çeçen Üniversitesi Senatosu tarafından kabul edildiği tarihte yürürlüğe girer.</w:t>
      </w:r>
    </w:p>
    <w:p w14:paraId="68A8CC72" w14:textId="77777777" w:rsidR="006F1CFE" w:rsidRDefault="00C62C3C">
      <w:pPr>
        <w:spacing w:after="105" w:line="360" w:lineRule="auto"/>
        <w:jc w:val="center"/>
      </w:pPr>
      <w:bookmarkStart w:id="33" w:name="yürütme"/>
      <w:r>
        <w:rPr>
          <w:rFonts w:eastAsia="Times New Roman" w:hAnsi="Times New Roman" w:cs="Times New Roman"/>
          <w:b/>
          <w:color w:val="000000"/>
        </w:rPr>
        <w:t>Yürütme</w:t>
      </w:r>
      <w:bookmarkEnd w:id="33"/>
    </w:p>
    <w:p w14:paraId="2EB82FD2" w14:textId="77777777" w:rsidR="006F1CFE" w:rsidRDefault="00C62C3C">
      <w:pPr>
        <w:spacing w:after="0" w:line="360" w:lineRule="auto"/>
        <w:ind w:firstLine="709"/>
        <w:jc w:val="both"/>
      </w:pPr>
      <w:r>
        <w:rPr>
          <w:rFonts w:eastAsia="Times New Roman" w:hAnsi="Times New Roman" w:cs="Times New Roman"/>
          <w:b/>
          <w:color w:val="000000"/>
        </w:rPr>
        <w:t>Madde 23</w:t>
      </w:r>
      <w:r>
        <w:rPr>
          <w:rFonts w:eastAsia="Times New Roman" w:hAnsi="Times New Roman" w:cs="Times New Roman"/>
          <w:color w:val="000000"/>
        </w:rPr>
        <w:t xml:space="preserve"> – (1) Bu Yönerge hükümlerini Ağrı İbrahim Çeçen Üniversitesi Rektörü yürütür.</w:t>
      </w:r>
    </w:p>
    <w:p w14:paraId="1A200001" w14:textId="77777777" w:rsidR="006F1CFE" w:rsidRDefault="00C62C3C">
      <w:pPr>
        <w:spacing w:after="105" w:line="360" w:lineRule="auto"/>
        <w:jc w:val="center"/>
      </w:pPr>
      <w:bookmarkStart w:id="34" w:name="geçici_madde_1"/>
      <w:r>
        <w:rPr>
          <w:rFonts w:eastAsia="Times New Roman" w:hAnsi="Times New Roman" w:cs="Times New Roman"/>
          <w:b/>
          <w:color w:val="000000"/>
        </w:rPr>
        <w:t>Geçiş hükmü</w:t>
      </w:r>
      <w:bookmarkEnd w:id="34"/>
    </w:p>
    <w:p w14:paraId="1A200002" w14:textId="77777777" w:rsidR="006F1CFE" w:rsidRDefault="00C62C3C">
      <w:pPr>
        <w:spacing w:after="0" w:line="360" w:lineRule="auto"/>
        <w:ind w:firstLine="709"/>
        <w:jc w:val="both"/>
      </w:pPr>
      <w:r>
        <w:rPr>
          <w:rFonts w:eastAsia="Times New Roman" w:hAnsi="Times New Roman" w:cs="Times New Roman"/>
          <w:b/>
          <w:color w:val="000000"/>
        </w:rPr>
        <w:t>Geçici Madde 1</w:t>
      </w:r>
      <w:r>
        <w:rPr>
          <w:rFonts w:eastAsia="Times New Roman" w:hAnsi="Times New Roman" w:cs="Times New Roman"/>
          <w:color w:val="000000"/>
        </w:rPr>
        <w:t xml:space="preserve"> – (1) Bu Yönergenin yürürlüğe girdiği tarihten önce başlatılan araştırma projeleri, imzalanan sözleşmeler ve TTO’ya bildirilen buluşlara, tarafların yazılı mutabakatı sağlanmadıkça bu Yönerge hükümleri geriye dönük uygulanmaz; söz konusu durumlara bildirimin ya da sözleşmenin yapıldığı tarihte geçerli mevzuat uygulanmaya devam eder.</w:t>
      </w:r>
    </w:p>
    <w:p w14:paraId="1A200003" w14:textId="77777777" w:rsidR="006F1CFE" w:rsidRDefault="00C62C3C">
      <w:pPr>
        <w:spacing w:after="0" w:line="360" w:lineRule="auto"/>
        <w:ind w:firstLine="709"/>
        <w:jc w:val="both"/>
      </w:pPr>
      <w:r>
        <w:rPr>
          <w:rFonts w:eastAsia="Times New Roman" w:hAnsi="Times New Roman" w:cs="Times New Roman"/>
          <w:color w:val="000000"/>
        </w:rPr>
        <w:t>(2) Bu Yönergenin yürürlüğe girdiği tarihten itibaren altı ay içinde TTO, mevcut açık buluş bildirimi dosyalarını bu Yönerge kapsamında değerlendirerek durumlarını Komisyona raporlar.</w:t>
      </w:r>
    </w:p>
    <w:p w14:paraId="6B0F4F2C" w14:textId="77777777" w:rsidR="006F1CFE" w:rsidRDefault="00C62C3C">
      <w:pPr>
        <w:spacing w:after="105" w:line="360" w:lineRule="auto"/>
        <w:jc w:val="center"/>
      </w:pPr>
      <w:bookmarkStart w:id="35" w:name="ekler"/>
      <w:r>
        <w:rPr>
          <w:rFonts w:eastAsia="Times New Roman" w:hAnsi="Times New Roman" w:cs="Times New Roman"/>
          <w:b/>
          <w:color w:val="000000"/>
        </w:rPr>
        <w:t>EKLER</w:t>
      </w:r>
      <w:bookmarkEnd w:id="35"/>
    </w:p>
    <w:p w14:paraId="455D3A8D" w14:textId="77777777" w:rsidR="006F1CFE" w:rsidRDefault="00C62C3C">
      <w:pPr>
        <w:numPr>
          <w:ilvl w:val="0"/>
          <w:numId w:val="2"/>
        </w:numPr>
        <w:spacing w:after="0" w:line="360" w:lineRule="auto"/>
        <w:ind w:firstLine="709"/>
        <w:jc w:val="both"/>
      </w:pPr>
      <w:r>
        <w:rPr>
          <w:rFonts w:eastAsia="Times New Roman" w:hAnsi="Times New Roman" w:cs="Times New Roman"/>
          <w:color w:val="000000"/>
        </w:rPr>
        <w:t>Ek-1: Buluş Bildirim Formu</w:t>
      </w:r>
    </w:p>
    <w:p w14:paraId="249C1EE6" w14:textId="77777777" w:rsidR="006F1CFE" w:rsidRDefault="00C62C3C">
      <w:pPr>
        <w:numPr>
          <w:ilvl w:val="0"/>
          <w:numId w:val="2"/>
        </w:numPr>
        <w:spacing w:after="0" w:line="360" w:lineRule="auto"/>
        <w:ind w:firstLine="709"/>
        <w:jc w:val="both"/>
      </w:pPr>
      <w:r>
        <w:rPr>
          <w:rFonts w:eastAsia="Times New Roman" w:hAnsi="Times New Roman" w:cs="Times New Roman"/>
          <w:color w:val="000000"/>
        </w:rPr>
        <w:t>Ek-2: Gizlilik Taahhüdü Örneği</w:t>
      </w:r>
    </w:p>
    <w:p w14:paraId="145A11B5" w14:textId="77777777" w:rsidR="006F1CFE" w:rsidRDefault="00C62C3C">
      <w:pPr>
        <w:numPr>
          <w:ilvl w:val="0"/>
          <w:numId w:val="2"/>
        </w:numPr>
        <w:spacing w:after="0" w:line="360" w:lineRule="auto"/>
        <w:ind w:firstLine="709"/>
        <w:jc w:val="both"/>
      </w:pPr>
      <w:r>
        <w:rPr>
          <w:rFonts w:eastAsia="Times New Roman" w:hAnsi="Times New Roman" w:cs="Times New Roman"/>
          <w:color w:val="000000"/>
        </w:rPr>
        <w:t>Ek-3: Katkı Oranı Beyan Formu</w:t>
      </w:r>
    </w:p>
    <w:p w14:paraId="5E66106A" w14:textId="77777777" w:rsidR="006F1CFE" w:rsidRDefault="00C62C3C">
      <w:pPr>
        <w:numPr>
          <w:ilvl w:val="0"/>
          <w:numId w:val="2"/>
        </w:numPr>
        <w:spacing w:after="0" w:line="360" w:lineRule="auto"/>
        <w:ind w:firstLine="709"/>
        <w:jc w:val="both"/>
      </w:pPr>
      <w:r>
        <w:rPr>
          <w:rFonts w:eastAsia="Times New Roman" w:hAnsi="Times New Roman" w:cs="Times New Roman"/>
          <w:color w:val="000000"/>
        </w:rPr>
        <w:t>Ek-4: Feragat ve Devir Değerlendirme Formu</w:t>
      </w:r>
    </w:p>
    <w:sectPr w:rsidR="006F1CFE">
      <w:pgSz w:w="11906" w:h="16838"/>
      <w:pgMar w:top="851" w:right="851" w:bottom="851" w:left="851"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A2"/>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27029"/>
    <w:multiLevelType w:val="hybridMultilevel"/>
    <w:tmpl w:val="3378F792"/>
    <w:lvl w:ilvl="0" w:tplc="50E84026">
      <w:start w:val="1"/>
      <w:numFmt w:val="bullet"/>
      <w:lvlText w:val=""/>
      <w:lvlJc w:val="left"/>
      <w:pPr>
        <w:tabs>
          <w:tab w:val="num" w:pos="900"/>
        </w:tabs>
        <w:ind w:left="540" w:hanging="360"/>
      </w:pPr>
      <w:rPr>
        <w:rFonts w:ascii="Symbol" w:hAnsi="Symbol" w:hint="default"/>
      </w:rPr>
    </w:lvl>
    <w:lvl w:ilvl="1" w:tplc="639EFE8A">
      <w:numFmt w:val="decimal"/>
      <w:lvlText w:val=""/>
      <w:lvlJc w:val="left"/>
    </w:lvl>
    <w:lvl w:ilvl="2" w:tplc="821018B6">
      <w:numFmt w:val="decimal"/>
      <w:lvlText w:val=""/>
      <w:lvlJc w:val="left"/>
    </w:lvl>
    <w:lvl w:ilvl="3" w:tplc="4EC08BD8">
      <w:numFmt w:val="decimal"/>
      <w:lvlText w:val=""/>
      <w:lvlJc w:val="left"/>
    </w:lvl>
    <w:lvl w:ilvl="4" w:tplc="830CD634">
      <w:numFmt w:val="decimal"/>
      <w:lvlText w:val=""/>
      <w:lvlJc w:val="left"/>
    </w:lvl>
    <w:lvl w:ilvl="5" w:tplc="29F2B2E2">
      <w:numFmt w:val="decimal"/>
      <w:lvlText w:val=""/>
      <w:lvlJc w:val="left"/>
    </w:lvl>
    <w:lvl w:ilvl="6" w:tplc="091249F2">
      <w:numFmt w:val="decimal"/>
      <w:lvlText w:val=""/>
      <w:lvlJc w:val="left"/>
    </w:lvl>
    <w:lvl w:ilvl="7" w:tplc="1CC87A60">
      <w:numFmt w:val="decimal"/>
      <w:lvlText w:val=""/>
      <w:lvlJc w:val="left"/>
    </w:lvl>
    <w:lvl w:ilvl="8" w:tplc="49ACC50E">
      <w:numFmt w:val="decimal"/>
      <w:lvlText w:val=""/>
      <w:lvlJc w:val="left"/>
    </w:lvl>
  </w:abstractNum>
  <w:abstractNum w:abstractNumId="1" w15:restartNumberingAfterBreak="0">
    <w:nsid w:val="4F3B4557"/>
    <w:multiLevelType w:val="hybridMultilevel"/>
    <w:tmpl w:val="D124EE3A"/>
    <w:lvl w:ilvl="0" w:tplc="E8BAE5A8">
      <w:start w:val="1"/>
      <w:numFmt w:val="bullet"/>
      <w:lvlText w:val=""/>
      <w:lvlJc w:val="left"/>
      <w:pPr>
        <w:tabs>
          <w:tab w:val="num" w:pos="900"/>
        </w:tabs>
        <w:ind w:left="540" w:hanging="360"/>
      </w:pPr>
      <w:rPr>
        <w:rFonts w:ascii="Symbol" w:hAnsi="Symbol" w:hint="default"/>
      </w:rPr>
    </w:lvl>
    <w:lvl w:ilvl="1" w:tplc="DEE21AA4">
      <w:numFmt w:val="decimal"/>
      <w:lvlText w:val=""/>
      <w:lvlJc w:val="left"/>
    </w:lvl>
    <w:lvl w:ilvl="2" w:tplc="6B4820F0">
      <w:numFmt w:val="decimal"/>
      <w:lvlText w:val=""/>
      <w:lvlJc w:val="left"/>
    </w:lvl>
    <w:lvl w:ilvl="3" w:tplc="D87A467A">
      <w:numFmt w:val="decimal"/>
      <w:lvlText w:val=""/>
      <w:lvlJc w:val="left"/>
    </w:lvl>
    <w:lvl w:ilvl="4" w:tplc="0DEC7024">
      <w:numFmt w:val="decimal"/>
      <w:lvlText w:val=""/>
      <w:lvlJc w:val="left"/>
    </w:lvl>
    <w:lvl w:ilvl="5" w:tplc="84C4E306">
      <w:numFmt w:val="decimal"/>
      <w:lvlText w:val=""/>
      <w:lvlJc w:val="left"/>
    </w:lvl>
    <w:lvl w:ilvl="6" w:tplc="E286F49E">
      <w:numFmt w:val="decimal"/>
      <w:lvlText w:val=""/>
      <w:lvlJc w:val="left"/>
    </w:lvl>
    <w:lvl w:ilvl="7" w:tplc="DC6A7040">
      <w:numFmt w:val="decimal"/>
      <w:lvlText w:val=""/>
      <w:lvlJc w:val="left"/>
    </w:lvl>
    <w:lvl w:ilvl="8" w:tplc="BE72BBC8">
      <w:numFmt w:val="decimal"/>
      <w:lvlText w:val=""/>
      <w:lvlJc w:val="left"/>
    </w:lvl>
  </w:abstractNum>
  <w:num w:numId="1" w16cid:durableId="332491924">
    <w:abstractNumId w:val="0"/>
  </w:num>
  <w:num w:numId="2" w16cid:durableId="247545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E"/>
    <w:rsid w:val="00156798"/>
    <w:rsid w:val="004A1FFB"/>
    <w:rsid w:val="005D28C3"/>
    <w:rsid w:val="006F1CFE"/>
    <w:rsid w:val="009622A0"/>
    <w:rsid w:val="00C62C3C"/>
    <w:rsid w:val="00FF09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F393"/>
  <w15:docId w15:val="{1F80063E-5646-49DF-A757-52170C87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4"/>
        <w:szCs w:val="24"/>
        <w:lang w:val="tr-TR"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3173</Words>
  <Characters>22082</Characters>
  <Application>Microsoft Office Word</Application>
  <DocSecurity>0</DocSecurity>
  <Lines>338</Lines>
  <Paragraphs>159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Cihan Yıldırım</cp:lastModifiedBy>
  <cp:revision>2</cp:revision>
  <dcterms:created xsi:type="dcterms:W3CDTF">2026-06-17T16:37:00Z</dcterms:created>
  <dcterms:modified xsi:type="dcterms:W3CDTF">2026-06-17T16:37:00Z</dcterms:modified>
</cp:coreProperties>
</file>